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97471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420" w:hanging="315"/>
        <w:spacing w:after="0" w:line="242" w:lineRule="auto"/>
        <w:tabs>
          <w:tab w:leader="none" w:pos="4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ANNUAL REPORT PURSUANT TO SECTION 15(d) OF THE SECURITIES EXCHANGE ACT OF 1934 [NO FEE REQUIRED].</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3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4"/>
          <w:szCs w:val="24"/>
          <w:color w:val="auto"/>
        </w:rPr>
      </w:pPr>
    </w:p>
    <w:p>
      <w:pPr>
        <w:spacing w:after="0" w:line="214" w:lineRule="exact"/>
        <w:rPr>
          <w:sz w:val="24"/>
          <w:szCs w:val="24"/>
          <w:color w:val="auto"/>
        </w:rPr>
      </w:pPr>
    </w:p>
    <w:p>
      <w:pPr>
        <w:ind w:left="440" w:right="200" w:hanging="252"/>
        <w:spacing w:after="0" w:line="242" w:lineRule="auto"/>
        <w:tabs>
          <w:tab w:leader="none" w:pos="44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[NO FEE REQUIRED].</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0-22684</w:t>
      </w:r>
    </w:p>
    <w:p>
      <w:pPr>
        <w:spacing w:after="0" w:line="3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UFP Industries, Inc. Employees' Profit Sharing</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401(k) Plan</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(Full title of the plan and the address of the plan, if different from that of issuer named below)</w:t>
      </w: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1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Grand Rapids, Michigan 49525-9736</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248920</wp:posOffset>
            </wp:positionV>
            <wp:extent cx="596646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340"/>
          </w:cols>
          <w:pgMar w:left="1240" w:top="686" w:right="1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6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color w:val="auto"/>
                <w:w w:val="99"/>
              </w:rPr>
              <w:t>UFP Industries, Inc. Employees’ Profit Sharing and 401(k) Plan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96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9"/>
              </w:rPr>
              <w:t>Financial Statements and Supplemental Schedule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96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color w:val="auto"/>
                <w:w w:val="99"/>
              </w:rPr>
              <w:t>Years Ended December 31, 2025 and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8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vMerge w:val="restart"/>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4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Statements of Net Assets Available for Benefits</w:t>
            </w:r>
          </w:p>
        </w:tc>
        <w:tc>
          <w:tcPr>
            <w:tcW w:w="4680" w:type="dxa"/>
            <w:vAlign w:val="bottom"/>
            <w:tcBorders>
              <w:bottom w:val="single" w:sz="8" w:color="CCEEFF"/>
            </w:tcBorders>
            <w:gridSpan w:val="4"/>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Net Assets Available for Benefits</w:t>
            </w: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4i—Schedule of Assets (Held at End of Year)</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4" w:lineRule="exact"/>
        <w:rPr>
          <w:sz w:val="20"/>
          <w:szCs w:val="20"/>
          <w:color w:val="auto"/>
        </w:rPr>
      </w:pPr>
    </w:p>
    <w:p>
      <w:pPr>
        <w:ind w:right="3240"/>
        <w:spacing w:after="0" w:line="273" w:lineRule="auto"/>
        <w:rPr>
          <w:sz w:val="20"/>
          <w:szCs w:val="20"/>
          <w:color w:val="auto"/>
        </w:rPr>
      </w:pPr>
      <w:r>
        <w:rPr>
          <w:rFonts w:ascii="Times New Roman" w:cs="Times New Roman" w:eastAsia="Times New Roman" w:hAnsi="Times New Roman"/>
          <w:sz w:val="17"/>
          <w:szCs w:val="17"/>
          <w:color w:val="auto"/>
        </w:rPr>
        <w:t>To Plan Participants and Members of the Profit Sharing and 401(k) Investment Committee UFP Industries, Inc. Employees’ Profit Sharing and 401(k) Plan Grand Rapids, Michigan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the UFP Industries, Inc. Employees' Profit Sharing and 401(k) Plan (the Plan) as of December 31, 2025 and 2024,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7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Information</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supplemental information in the accompanying ERISA-required Supplemental Schedule H, line 4i-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Plan’s auditor since 2009.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12, 2026</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 401(k) Plan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766,696,015</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761,535,758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24,364,049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22,567,678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458,424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639,586</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from investment broker</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168,348</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791,686,836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784,743,022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investment broker (equal to total liabilities)</w:t>
            </w: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791,686,836</w:t>
            </w:r>
          </w:p>
        </w:tc>
        <w:tc>
          <w:tcPr>
            <w:tcW w:w="3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784,703,684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 401(k) Plan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11,117,850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10,437,194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47,387,261</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48,158,696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58,505,111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58,595,890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42,344,175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45,071,584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Rollover contributions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3,986,463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6,177,504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6,994,217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7,799,735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2,122,299</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1,803,223</w:t>
            </w:r>
          </w:p>
        </w:tc>
        <w:tc>
          <w:tcPr>
            <w:tcW w:w="0" w:type="dxa"/>
            <w:vAlign w:val="bottom"/>
          </w:tcPr>
          <w:p>
            <w:pPr>
              <w:spacing w:after="0"/>
              <w:rPr>
                <w:sz w:val="1"/>
                <w:szCs w:val="1"/>
                <w:color w:val="auto"/>
              </w:rPr>
            </w:pPr>
          </w:p>
        </w:tc>
      </w:tr>
      <w:tr>
        <w:trPr>
          <w:trHeight w:val="21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Additions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113,952,265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119,447,936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(106,505,250)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(68,844,827)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(463,863)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(496,962)</w:t>
            </w:r>
          </w:p>
        </w:tc>
        <w:tc>
          <w:tcPr>
            <w:tcW w:w="0" w:type="dxa"/>
            <w:vAlign w:val="bottom"/>
          </w:tcPr>
          <w:p>
            <w:pPr>
              <w:spacing w:after="0"/>
              <w:rPr>
                <w:sz w:val="1"/>
                <w:szCs w:val="1"/>
                <w:color w:val="auto"/>
              </w:rPr>
            </w:pPr>
          </w:p>
        </w:tc>
      </w:tr>
      <w:tr>
        <w:trPr>
          <w:trHeight w:val="21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Deductions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(106,969,113)</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(69,341,789)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6,983,152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50,106,147</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784,703,684</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734,597,537</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791,686,836</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784,703,684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5" w:name="page6"/>
    <w:bookmarkEnd w:id="5"/>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UFP Industries, Inc. Employees’ Profit Sharing and 401(k) Plan</w:t>
      </w:r>
    </w:p>
    <w:p>
      <w:pPr>
        <w:spacing w:after="0" w:line="32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302" w:lineRule="exact"/>
        <w:rPr>
          <w:sz w:val="20"/>
          <w:szCs w:val="20"/>
          <w:color w:val="auto"/>
        </w:rPr>
      </w:pPr>
    </w:p>
    <w:p>
      <w:pPr>
        <w:ind w:left="3" w:right="7180" w:hanging="3"/>
        <w:spacing w:after="0" w:line="597" w:lineRule="auto"/>
        <w:tabs>
          <w:tab w:leader="none" w:pos="48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following description of the UFP Industries, Inc. (the “Company”) Employees’ Profit Sharing and 401(k) Plan (the Plan) provides only general information. Participants should refer to the Plan Document, as amended and restated, for a more complete description of the Plan’s provisions.</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310"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Principal Trust Company serves as the trustee of the Plan, and Principal Life Insurance Company serves as recordkeeper of the Plan (collectively, “Principal”). Principal provides custody of assets, trading, income collection, contribution deposit processing and paying agent services. The trustee is legally responsible for maintaining the assets of the Plan, making distribution payments as directed by the Company and generally performing all other acts deemed necessary or proper to fulfill its responsibility as set forth in the trust agreement pertaining to the Plan.</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Eligibility and Enrollment</w:t>
      </w:r>
    </w:p>
    <w:p>
      <w:pPr>
        <w:spacing w:after="0" w:line="310" w:lineRule="exact"/>
        <w:rPr>
          <w:sz w:val="20"/>
          <w:szCs w:val="20"/>
          <w:color w:val="auto"/>
        </w:rPr>
      </w:pPr>
    </w:p>
    <w:p>
      <w:pPr>
        <w:jc w:val="both"/>
        <w:ind w:left="3"/>
        <w:spacing w:after="0" w:line="309" w:lineRule="auto"/>
        <w:rPr>
          <w:sz w:val="20"/>
          <w:szCs w:val="20"/>
          <w:color w:val="auto"/>
        </w:rPr>
      </w:pPr>
      <w:r>
        <w:rPr>
          <w:rFonts w:ascii="Times New Roman" w:cs="Times New Roman" w:eastAsia="Times New Roman" w:hAnsi="Times New Roman"/>
          <w:sz w:val="18"/>
          <w:szCs w:val="18"/>
          <w:color w:val="auto"/>
        </w:rPr>
        <w:t>The Plan is a defined-contribution, profit sharing and 401(k) plan that provides tax-deferred benefits, and as of January 1, 2024, Roth after-tax contributions and In-Plan Roth transfers, for substantially all eligible employees of UFP Industries, Inc. (Plan Sponsor) or other participating employers, excluding the employees of separate subsidiaries that maintain a similar defined-contribution plan and those covered under a collective bargaining agreement. The Plan is subject to the provisions of the Employee Retirement Income Security Act of 1974, as amended (ERISA).</w:t>
      </w:r>
    </w:p>
    <w:p>
      <w:pPr>
        <w:spacing w:after="0" w:line="220" w:lineRule="exact"/>
        <w:rPr>
          <w:sz w:val="20"/>
          <w:szCs w:val="20"/>
          <w:color w:val="auto"/>
        </w:rPr>
      </w:pPr>
    </w:p>
    <w:p>
      <w:pPr>
        <w:jc w:val="both"/>
        <w:ind w:left="3"/>
        <w:spacing w:after="0" w:line="329" w:lineRule="auto"/>
        <w:rPr>
          <w:sz w:val="20"/>
          <w:szCs w:val="20"/>
          <w:color w:val="auto"/>
        </w:rPr>
      </w:pPr>
      <w:r>
        <w:rPr>
          <w:rFonts w:ascii="Times New Roman" w:cs="Times New Roman" w:eastAsia="Times New Roman" w:hAnsi="Times New Roman"/>
          <w:sz w:val="18"/>
          <w:szCs w:val="18"/>
          <w:color w:val="auto"/>
        </w:rPr>
        <w:t>All newly eligible employees are automatically enrolled in the Plan at a deferral level of 3% of eligible compensation. Eligible employees are those who are 18 years or older, have completed 60 days of employment and are hired to work more than 180 days.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0" w:lineRule="exact"/>
        <w:rPr>
          <w:sz w:val="20"/>
          <w:szCs w:val="20"/>
          <w:color w:val="auto"/>
        </w:rPr>
      </w:pP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202"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 on the first 6% of each participant’s eligible compensation, in 2025 and 2024. Additional matching contributions were not provided to hourly participants for 2025 or 2024. These amounts are not guaranteed and may vary from year to year as the Plan Sponsor is not obligated to make such contributions.</w:t>
      </w:r>
    </w:p>
    <w:p>
      <w:pPr>
        <w:spacing w:after="0" w:line="224"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participants who had at least 1,000 hours of service during the plan year and are allocated to each participant’s account in the same ratio that each participant’s total compensation for the Plan year bears to the total compensation of all participants for such year. No discretionary profit sharing contributions were made in 2025 or 2024.</w:t>
      </w:r>
    </w:p>
    <w:p>
      <w:pPr>
        <w:sectPr>
          <w:pgSz w:w="11900" w:h="16838" w:orient="portrait"/>
          <w:cols w:equalWidth="0" w:num="1">
            <w:col w:w="9423"/>
          </w:cols>
          <w:pgMar w:left="1237" w:top="295" w:right="1239" w:bottom="1440" w:gutter="0" w:footer="0" w:header="0"/>
        </w:sectPr>
      </w:pPr>
    </w:p>
    <w:p>
      <w:pPr>
        <w:spacing w:after="0" w:line="19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511810</wp:posOffset>
            </wp:positionV>
            <wp:extent cx="5983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contributions are subject to a vesting schedule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Years of Service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Vesting Percentage</w:t>
            </w:r>
          </w:p>
        </w:tc>
      </w:tr>
      <w:tr>
        <w:trPr>
          <w:trHeight w:val="216"/>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2</w:t>
            </w:r>
          </w:p>
        </w:tc>
        <w:tc>
          <w:tcPr>
            <w:tcW w:w="8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but less than 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but less than 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but less than 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but less than 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or more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4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Plan was amended effective January 1, 2012 to be designated as an Employee Stock Ownership Plan for those Participants with a portion of their account balance invested in the UFP Industries, Inc. Stock Fund. This provision allows those Participants who are 100% vested the opportunity to elect to have the dividends on the employer stock fund paid to them in cash. Effective January 1, 2025, the Plan was amended to vest all UFP Industries, Inc. dividend payments at 100% and allow participants to elect to have the dividends on the fund paid to them in cash.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participant account balances, as defined in the Plan Document.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310"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Upon termination of employment, a participant may not be fully vested in the employer’s contributions that have been allocated to his or her account. Forfeitures are used to offset the Plan Sponsor’s matching contributions and for reasonable administrative expenses. During 2025 and 2024, forfeitures of approximately $1,601,000 and $1,529,000, respectively, were used to offset the Plan Sponsor’s matching contributions.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3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Participants may borrow from their account a minimum amount of $1,000 up to a maximum equal to the lesser of $50,000 or 50% of their vested account balance, reduced by any outstanding loans as outlined in the Plan Document. Loan terms range from one to five years or up to 25 years for the purchase of a residence. Each participant may not have more than two loans outstanding at any time. Participant loans are secured by the participant’s vested account balance, with the adequacy of the security determined as of the loan approval date. The loans bear interest at a rate equal to the prime rate (6.75% at December 31, 2025) plus 2% calculated on a daily basis. Interest rates on outstanding loans ranged from 4.2% to 11.5% at December 31, 2025. Repayments of principal and interest are generally made through payroll deductions.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0"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ectPr>
          <w:pgSz w:w="11900" w:h="16838" w:orient="portrait"/>
          <w:cols w:equalWidth="0" w:num="1">
            <w:col w:w="9420"/>
          </w:cols>
          <w:pgMar w:left="1240" w:top="295" w:right="1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537845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type w:val="continuous"/>
        </w:sectPr>
      </w:pPr>
    </w:p>
    <w:bookmarkStart w:id="7" w:name="page8"/>
    <w:bookmarkEnd w:id="7"/>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212" w:lineRule="exact"/>
        <w:rPr>
          <w:sz w:val="20"/>
          <w:szCs w:val="20"/>
          <w:color w:val="auto"/>
        </w:rPr>
      </w:pPr>
    </w:p>
    <w:p>
      <w:pPr>
        <w:ind w:left="3" w:right="6560" w:hanging="3"/>
        <w:spacing w:after="0" w:line="597" w:lineRule="auto"/>
        <w:tabs>
          <w:tab w:leader="none" w:pos="48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Accounting</w:t>
      </w: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The financial statements of the UFP Industries, Inc. Employees’ Profit Sharing and 401(k) Plan are presented on the accrual method of accounting.</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310" w:lineRule="exact"/>
        <w:rPr>
          <w:sz w:val="20"/>
          <w:szCs w:val="20"/>
          <w:color w:val="auto"/>
        </w:rPr>
      </w:pPr>
    </w:p>
    <w:p>
      <w:pPr>
        <w:jc w:val="both"/>
        <w:ind w:left="3"/>
        <w:spacing w:after="0" w:line="309" w:lineRule="auto"/>
        <w:rPr>
          <w:sz w:val="20"/>
          <w:szCs w:val="20"/>
          <w:color w:val="auto"/>
        </w:rPr>
      </w:pPr>
      <w:r>
        <w:rPr>
          <w:rFonts w:ascii="Times New Roman" w:cs="Times New Roman" w:eastAsia="Times New Roman" w:hAnsi="Times New Roman"/>
          <w:sz w:val="18"/>
          <w:szCs w:val="18"/>
          <w:color w:val="auto"/>
        </w:rPr>
        <w:t>Subsequent events have been evaluated by management through June 12, 2026, the date these financial statements were available to be issued. Effective January 1, 2026, the Plan was amended to incorporate Roth catch-up contribution provisions required under the SECURE 2.0 Act for participants whose prior year Federal Insurance Contributions Act (“FICA”) wages exceed the applicable statutory threshold. Under the amendment, catch-up contributions for such participants are required to be made on a Roth after-tax basis.</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0" w:lineRule="exact"/>
        <w:rPr>
          <w:sz w:val="20"/>
          <w:szCs w:val="20"/>
          <w:color w:val="auto"/>
        </w:rPr>
      </w:pPr>
    </w:p>
    <w:p>
      <w:pPr>
        <w:jc w:val="both"/>
        <w:ind w:left="3" w:right="20"/>
        <w:spacing w:after="0" w:line="307" w:lineRule="auto"/>
        <w:rPr>
          <w:sz w:val="20"/>
          <w:szCs w:val="20"/>
          <w:color w:val="auto"/>
        </w:rPr>
      </w:pPr>
      <w:r>
        <w:rPr>
          <w:rFonts w:ascii="Times New Roman" w:cs="Times New Roman" w:eastAsia="Times New Roman" w:hAnsi="Times New Roman"/>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Plan’s investments are stated at estimated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ectPr>
          <w:pgSz w:w="11900" w:h="16838" w:orient="portrait"/>
          <w:cols w:equalWidth="0" w:num="1">
            <w:col w:w="9423"/>
          </w:cols>
          <w:pgMar w:left="1237" w:top="295" w:right="1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5983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218"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unrestricted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w:t>
      </w:r>
    </w:p>
    <w:p>
      <w:pPr>
        <w:spacing w:after="0" w:line="199"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observable inputs such as quoted prices for similar assets or liabilities in active markets,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methodologies were used to measure the fair value of the Plan’s investments: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quoted market prices in an exchange and active market in which the securities are traded.</w:t>
      </w:r>
    </w:p>
    <w:p>
      <w:pPr>
        <w:spacing w:after="0" w:line="306"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Money Market Fund: </w:t>
      </w:r>
      <w:r>
        <w:rPr>
          <w:rFonts w:ascii="Times New Roman" w:cs="Times New Roman" w:eastAsia="Times New Roman" w:hAnsi="Times New Roman"/>
          <w:sz w:val="18"/>
          <w:szCs w:val="18"/>
          <w:color w:val="auto"/>
        </w:rPr>
        <w:t>Valued at quoted market prices in an exchange and active market, which represent the net asset value (NAV)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held by the Plan. The money market fund seeks to maintain a $1.00 NAV.</w:t>
      </w:r>
    </w:p>
    <w:p>
      <w:pPr>
        <w:spacing w:after="0" w:line="19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quoted market prices in an exchange and active market, which represent the net asset values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 Plan.</w:t>
      </w:r>
    </w:p>
    <w:p>
      <w:pPr>
        <w:spacing w:after="0" w:line="18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Collective Investment Trust (CIT): </w:t>
      </w:r>
      <w:r>
        <w:rPr>
          <w:rFonts w:ascii="Times New Roman" w:cs="Times New Roman" w:eastAsia="Times New Roman" w:hAnsi="Times New Roman"/>
          <w:sz w:val="18"/>
          <w:szCs w:val="18"/>
          <w:color w:val="auto"/>
        </w:rPr>
        <w:t>The fair value of participation units held in the Principal Stable Value Fund, Large Cap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II, and T. Rowe Price Retirement Trusts are based on net asset value, which is obtained from audited information reported by the issuer of the CIT at year-end and is used as a practical expedient. This practical expedient is not used when it is determined to be probable that the fund will sell the investment for an amount different than the reported NAV.</w:t>
      </w:r>
    </w:p>
    <w:p>
      <w:pPr>
        <w:spacing w:after="0" w:line="22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The investment objective of the Principal Stable Value Fund is to provide preservation of capital, relatively stable returns consistent with its comparatively low risk profile, and liquidity for benefit-responsive payments. Withdrawals from the Principal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Principal Stable Value Fund may waive this requirement at its discretion. There are no unfunded commitments relating to these investments.</w:t>
      </w:r>
    </w:p>
    <w:p>
      <w:pPr>
        <w:spacing w:after="0" w:line="22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8"/>
          <w:szCs w:val="18"/>
          <w:color w:val="auto"/>
        </w:rPr>
        <w:t>The investment objective of the Large Cap Growth Fund II is to provide long-term capital appreciation primarily through a portfolio of underappreciated growth stocks. The investment objective of the T. Rowe Price Retirement Trusts is to seek the highest growth total return over time consistent with an emphasis on both capital growth and income that gradually shifts from higher risk equity securities to lower risk fixed income securities as retirement approaches. All Plan Sponsor-directed full or partial withdrawals from the Large Cap Growth Fund and T. Rowe Price Retirement Trusts are subject to 5 business days’ prior written notice for withdrawals exceeding $1,000,000. There are no unfunded commitments relating to these investments.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The UFP Industries, Inc. Stock Fund (the Fund) is tracked on a unitized basis. At December 31, 2025, the Fund consists of common stock of UFP Industries, Inc. (Plan Sponsor) and funds that are held in the Allspring Government Money Market Fund that are sufficient to meet the Fund’s daily cash needs. Unitization of the Fund allows for daily trades. The value of a unit reflects the combined market value of the common stock and the Allspring Government Money Market Fund held by the Fund. At December 31, 2025 and 2024, 1,262,812 and 1,503,069 units, respectively, were outstanding with a value of $87.89 and $108.62 per unit, respectively.</w:t>
      </w:r>
    </w:p>
    <w:p>
      <w:pPr>
        <w:spacing w:after="0" w:line="22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pacing w:after="0" w:line="22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receivables from participants are measured at their unpaid principal balance plus any accrued but unpaid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Delinquent notes receivable from participants are deemed distributions based upon the terms of the Plan Document.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Investments</w:t>
      </w:r>
    </w:p>
    <w:p>
      <w:pPr>
        <w:spacing w:after="0" w:line="31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Included in investments at December 31, 2025 and 2024 are shares of the Plan Sponsor’s common stock with an aggregate fair value of $108,690,938 and $160,064,047, respectively. This investment represents 14% and 21% of total investments at December 31, 2025 and 2024, respectively. A significant decline in the market value of the Plan Sponsor’s stock would significantly affect the net assets available for benefits.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31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0" w:name="page11"/>
    <w:bookmarkEnd w:id="10"/>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3" w:hanging="483"/>
        <w:spacing w:after="0"/>
        <w:tabs>
          <w:tab w:leader="none" w:pos="48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32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tables below set forth by level within the fair value hierarchy the Plan’s investments as of December 31, 2025 and 2024.</w:t>
      </w:r>
    </w:p>
    <w:p>
      <w:pPr>
        <w:spacing w:after="0" w:line="289" w:lineRule="exact"/>
        <w:rPr>
          <w:sz w:val="20"/>
          <w:szCs w:val="20"/>
          <w:color w:val="auto"/>
        </w:rPr>
      </w:pPr>
    </w:p>
    <w:tbl>
      <w:tblPr>
        <w:tblLayout w:type="fixed"/>
        <w:tblInd w:w="3" w:type="dxa"/>
        <w:tblCellMar>
          <w:top w:w="0" w:type="dxa"/>
          <w:left w:w="0" w:type="dxa"/>
          <w:bottom w:w="0" w:type="dxa"/>
          <w:right w:w="0" w:type="dxa"/>
        </w:tblCellMar>
      </w:tblPr>
      <w:tr>
        <w:trPr>
          <w:trHeight w:val="245"/>
        </w:trPr>
        <w:tc>
          <w:tcPr>
            <w:tcW w:w="3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gridSpan w:val="10"/>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2025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4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108,690,938</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108,690,938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2,132,168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209,577,409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209,577,409</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320,400,515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320,400,515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446,295,500</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320,400,515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766,696,015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3"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560" w:type="dxa"/>
            <w:vAlign w:val="bottom"/>
            <w:tcBorders>
              <w:bottom w:val="single" w:sz="8" w:color="auto"/>
            </w:tcBorders>
            <w:gridSpan w:val="10"/>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2024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40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160,064,047</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160,064,047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3,244,471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534,967,618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534,967,618</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698,276,136</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698,276,136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63,259,622</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698,276,136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761,535,758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3" w:hanging="3"/>
        <w:spacing w:after="0" w:line="316" w:lineRule="auto"/>
        <w:tabs>
          <w:tab w:leader="none" w:pos="13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in the collective investment trusts is measured at fair value using the net asset value per share (or its equivalent) as a practical expedient and has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223" w:lineRule="exact"/>
        <w:rPr>
          <w:sz w:val="20"/>
          <w:szCs w:val="20"/>
          <w:color w:val="auto"/>
        </w:rPr>
      </w:pPr>
    </w:p>
    <w:p>
      <w:pPr>
        <w:ind w:left="483" w:hanging="483"/>
        <w:spacing w:after="0"/>
        <w:tabs>
          <w:tab w:leader="none" w:pos="48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310" w:lineRule="exact"/>
        <w:rPr>
          <w:sz w:val="20"/>
          <w:szCs w:val="20"/>
          <w:color w:val="auto"/>
        </w:rPr>
      </w:pPr>
    </w:p>
    <w:p>
      <w:pPr>
        <w:jc w:val="both"/>
        <w:ind w:left="3"/>
        <w:spacing w:after="0" w:line="303" w:lineRule="auto"/>
        <w:rPr>
          <w:sz w:val="20"/>
          <w:szCs w:val="20"/>
          <w:color w:val="auto"/>
        </w:rPr>
      </w:pPr>
      <w:r>
        <w:rPr>
          <w:rFonts w:ascii="Times New Roman" w:cs="Times New Roman" w:eastAsia="Times New Roman" w:hAnsi="Times New Roman"/>
          <w:sz w:val="18"/>
          <w:szCs w:val="18"/>
          <w:color w:val="auto"/>
        </w:rPr>
        <w:t>The Plan Sponsor has received a determination letter from the Internal Revenue Service dated March 17, 2017, stating that the Plan is qualified under section 401(a) of the Internal Revenue Code (the Code), and, therefore, the related trust is exempt from taxation. Subsequent to this determination by the Internal Revenue Service, the Plan was amended several times and was restated effective January 1, 2023. Once qualified, the Plan is required to operate in conformity with the Code to maintain its qualification. The Plan Sponsor believes the Plan is designed and being operated in compliance with the applicable requirements of the Code and, therefore, believes that the Plan, as amended and restated, is qualified and the related trust is tax exempt.</w:t>
      </w:r>
    </w:p>
    <w:p>
      <w:pPr>
        <w:spacing w:after="0" w:line="241"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is subject to routine audits by taxing jurisdictions; however, there are currently no audits for any tax periods in progress.</w:t>
      </w:r>
    </w:p>
    <w:p>
      <w:pPr>
        <w:spacing w:after="0" w:line="219" w:lineRule="exact"/>
        <w:rPr>
          <w:sz w:val="20"/>
          <w:szCs w:val="20"/>
          <w:color w:val="auto"/>
        </w:rPr>
      </w:pPr>
    </w:p>
    <w:p>
      <w:pPr>
        <w:ind w:left="483" w:hanging="483"/>
        <w:spacing w:after="0"/>
        <w:tabs>
          <w:tab w:leader="none" w:pos="48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and Party-in-Interest Transactions</w:t>
      </w:r>
    </w:p>
    <w:p>
      <w:pPr>
        <w:spacing w:after="0" w:line="310" w:lineRule="exact"/>
        <w:rPr>
          <w:sz w:val="20"/>
          <w:szCs w:val="20"/>
          <w:color w:val="auto"/>
        </w:rPr>
      </w:pPr>
    </w:p>
    <w:p>
      <w:pPr>
        <w:jc w:val="both"/>
        <w:ind w:left="3"/>
        <w:spacing w:after="0" w:line="305" w:lineRule="auto"/>
        <w:rPr>
          <w:sz w:val="20"/>
          <w:szCs w:val="20"/>
          <w:color w:val="auto"/>
        </w:rPr>
      </w:pPr>
      <w:r>
        <w:rPr>
          <w:rFonts w:ascii="Times New Roman" w:cs="Times New Roman" w:eastAsia="Times New Roman" w:hAnsi="Times New Roman"/>
          <w:sz w:val="18"/>
          <w:szCs w:val="18"/>
          <w:color w:val="auto"/>
        </w:rPr>
        <w:t>Transactions resulting in Plan assets being transferred to or used by a related party are prohibited under ERISA unless a specific exemption is applied. Principal is a party-in-interest and qualified institution as defined by ERISA. The Plan also invests in the common stock of the Company, which it holds in the Plan. See Note 2 for additional information related to the Company’s stock. Notes receivable from participants are also considered party-in-interest transactions. All of the above transactions are exempt from the “prohibited transactions” provisions of ERISA and the Code.</w:t>
      </w:r>
    </w:p>
    <w:p>
      <w:pPr>
        <w:sectPr>
          <w:pgSz w:w="11900" w:h="16838" w:orient="portrait"/>
          <w:cols w:equalWidth="0" w:num="1">
            <w:col w:w="9403"/>
          </w:cols>
          <w:pgMar w:left="1237" w:top="29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598360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03"/>
          </w:cols>
          <w:pgMar w:left="1237" w:top="295" w:right="1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 401(k)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EIN #38-1465835 Plan #001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7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120" w:type="dxa"/>
            <w:vAlign w:val="bottom"/>
          </w:tcPr>
          <w:p>
            <w:pPr>
              <w:spacing w:after="0"/>
              <w:rPr>
                <w:sz w:val="17"/>
                <w:szCs w:val="17"/>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Identity of Issuer, Borrower, Lessor, or Similar Party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UFP Industries, Inc.</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UFP Industries, Inc.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108,690,938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Collective investment trust funds:</w:t>
            </w: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Principal Global Investors Trust Company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Stable Value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55,299,440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Great Gray Trust Company, LLC</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Large Cap Growth Fund II</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88,369,269</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2065 Trust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10,267,287</w:t>
            </w:r>
          </w:p>
        </w:tc>
        <w:tc>
          <w:tcPr>
            <w:tcW w:w="0" w:type="dxa"/>
            <w:vAlign w:val="bottom"/>
          </w:tcPr>
          <w:p>
            <w:pPr>
              <w:spacing w:after="0"/>
              <w:rPr>
                <w:sz w:val="1"/>
                <w:szCs w:val="1"/>
                <w:color w:val="auto"/>
              </w:rPr>
            </w:pPr>
          </w:p>
        </w:tc>
      </w:tr>
      <w:tr>
        <w:trPr>
          <w:trHeight w:val="202"/>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2060 Trust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16,413,580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2055 Trust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14,850,095</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2050 Trust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63,450,170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2045 Trust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18,319,992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2040 Trust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64,633,069</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2035 Trust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19,204,906</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2030 Trust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59,906,058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2025 Trust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6,845,892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2020 Trust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23,712,847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2015 Trust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306,796</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Retirement Date 2010 Trust Fund</w:t>
            </w: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4,716,099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446,295,500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Allspring</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Money Market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2,132,168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Midcap Index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33,108,901</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Small Cap Index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8,445,857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Cap Growth K6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1,372,590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Stock Index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11,239,413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Bond Index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4,419,657</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Index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63,379,408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Invesco</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Small-Mid Company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820,065</w:t>
            </w:r>
          </w:p>
        </w:tc>
        <w:tc>
          <w:tcPr>
            <w:tcW w:w="0" w:type="dxa"/>
            <w:vAlign w:val="bottom"/>
          </w:tcPr>
          <w:p>
            <w:pPr>
              <w:spacing w:after="0"/>
              <w:rPr>
                <w:sz w:val="1"/>
                <w:szCs w:val="1"/>
                <w:color w:val="auto"/>
              </w:rPr>
            </w:pPr>
          </w:p>
        </w:tc>
      </w:tr>
      <w:tr>
        <w:trPr>
          <w:trHeight w:val="202"/>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Dodge &amp; Cox</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Stock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17,726,209</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Dodge &amp; Cox</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9,845,834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PGIM</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High Yield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3,792,470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Neuberger Berman</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Genesis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12,884,562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American Mutual Fund</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Growth and Income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37,138,563</w:t>
            </w:r>
          </w:p>
        </w:tc>
        <w:tc>
          <w:tcPr>
            <w:tcW w:w="0" w:type="dxa"/>
            <w:vAlign w:val="bottom"/>
          </w:tcPr>
          <w:p>
            <w:pPr>
              <w:spacing w:after="0"/>
              <w:rPr>
                <w:sz w:val="1"/>
                <w:szCs w:val="1"/>
                <w:color w:val="auto"/>
              </w:rPr>
            </w:pPr>
          </w:p>
        </w:tc>
      </w:tr>
      <w:tr>
        <w:trPr>
          <w:trHeight w:val="203"/>
        </w:trPr>
        <w:tc>
          <w:tcPr>
            <w:tcW w:w="220" w:type="dxa"/>
            <w:vAlign w:val="bottom"/>
            <w:tcBorders>
              <w:bottom w:val="single" w:sz="8" w:color="CCEEFF"/>
            </w:tcBorders>
          </w:tcPr>
          <w:p>
            <w:pPr>
              <w:spacing w:after="0"/>
              <w:rPr>
                <w:sz w:val="17"/>
                <w:szCs w:val="17"/>
                <w:color w:val="auto"/>
              </w:rPr>
            </w:pPr>
          </w:p>
        </w:tc>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Carillon Eagle</w:t>
            </w:r>
          </w:p>
        </w:tc>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Midcap Growth Fund</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5,403,880</w:t>
            </w: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209,577,409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766,696,015</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Participant loans</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by vested account balances, payable in monthly</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3700" w:type="dxa"/>
            <w:vAlign w:val="bottom"/>
            <w:vMerge w:val="continue"/>
          </w:tcPr>
          <w:p>
            <w:pPr>
              <w:spacing w:after="0"/>
              <w:rPr>
                <w:sz w:val="8"/>
                <w:szCs w:val="8"/>
                <w:color w:val="auto"/>
              </w:rPr>
            </w:pPr>
          </w:p>
        </w:tc>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installments with interest rates ranging from 4.2% to 11.5%</w:t>
            </w:r>
          </w:p>
        </w:tc>
        <w:tc>
          <w:tcPr>
            <w:tcW w:w="120" w:type="dxa"/>
            <w:vAlign w:val="bottom"/>
          </w:tcPr>
          <w:p>
            <w:pPr>
              <w:spacing w:after="0"/>
              <w:rPr>
                <w:sz w:val="8"/>
                <w:szCs w:val="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24,364,049</w:t>
            </w:r>
          </w:p>
        </w:tc>
        <w:tc>
          <w:tcPr>
            <w:tcW w:w="0" w:type="dxa"/>
            <w:vAlign w:val="bottom"/>
          </w:tcPr>
          <w:p>
            <w:pPr>
              <w:spacing w:after="0"/>
              <w:rPr>
                <w:sz w:val="1"/>
                <w:szCs w:val="1"/>
                <w:color w:val="auto"/>
              </w:rPr>
            </w:pPr>
          </w:p>
        </w:tc>
      </w:tr>
      <w:tr>
        <w:trPr>
          <w:trHeight w:val="111"/>
        </w:trPr>
        <w:tc>
          <w:tcPr>
            <w:tcW w:w="220" w:type="dxa"/>
            <w:vAlign w:val="bottom"/>
            <w:tcBorders>
              <w:bottom w:val="single" w:sz="8" w:color="CCEEFF"/>
            </w:tcBorders>
          </w:tcPr>
          <w:p>
            <w:pPr>
              <w:spacing w:after="0"/>
              <w:rPr>
                <w:sz w:val="9"/>
                <w:szCs w:val="9"/>
                <w:color w:val="auto"/>
              </w:rPr>
            </w:pPr>
          </w:p>
        </w:tc>
        <w:tc>
          <w:tcPr>
            <w:tcW w:w="3700" w:type="dxa"/>
            <w:vAlign w:val="bottom"/>
            <w:tcBorders>
              <w:bottom w:val="single" w:sz="8" w:color="CCEEFF"/>
            </w:tcBorders>
          </w:tcPr>
          <w:p>
            <w:pPr>
              <w:spacing w:after="0"/>
              <w:rPr>
                <w:sz w:val="9"/>
                <w:szCs w:val="9"/>
                <w:color w:val="auto"/>
              </w:rPr>
            </w:pPr>
          </w:p>
        </w:tc>
        <w:tc>
          <w:tcPr>
            <w:tcW w:w="410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2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791,060,064</w:t>
            </w:r>
          </w:p>
        </w:tc>
        <w:tc>
          <w:tcPr>
            <w:tcW w:w="0" w:type="dxa"/>
            <w:vAlign w:val="bottom"/>
          </w:tcPr>
          <w:p>
            <w:pPr>
              <w:spacing w:after="0"/>
              <w:rPr>
                <w:sz w:val="1"/>
                <w:szCs w:val="1"/>
                <w:color w:val="auto"/>
              </w:rPr>
            </w:pPr>
          </w:p>
        </w:tc>
      </w:tr>
    </w:tbl>
    <w:p>
      <w:pPr>
        <w:ind w:left="220" w:hanging="149"/>
        <w:spacing w:after="0"/>
        <w:tabs>
          <w:tab w:leader="none" w:pos="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party-in-interest to the Plan.</w:t>
      </w:r>
    </w:p>
    <w:p>
      <w:pPr>
        <w:spacing w:after="0" w:line="234" w:lineRule="exact"/>
        <w:rPr>
          <w:rFonts w:ascii="Times New Roman" w:cs="Times New Roman" w:eastAsia="Times New Roman" w:hAnsi="Times New Roman"/>
          <w:sz w:val="16"/>
          <w:szCs w:val="16"/>
          <w:color w:val="auto"/>
        </w:rPr>
      </w:pPr>
    </w:p>
    <w:p>
      <w:pPr>
        <w:ind w:left="2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597471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4715" cy="128905"/>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-373380</wp:posOffset>
            </wp:positionV>
            <wp:extent cx="874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91"/>
        </w:trPr>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88"/>
              </w:rPr>
              <w:t>23</w:t>
            </w:r>
          </w:p>
        </w:tc>
        <w:tc>
          <w:tcPr>
            <w:tcW w:w="9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Consent of BDO USA, P.C.</w:t>
            </w:r>
          </w:p>
        </w:tc>
      </w:tr>
      <w:tr>
        <w:trPr>
          <w:trHeight w:val="20"/>
        </w:trPr>
        <w:tc>
          <w:tcPr>
            <w:tcW w:w="1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130" w:lineRule="exact"/>
        <w:rPr>
          <w:sz w:val="20"/>
          <w:szCs w:val="20"/>
          <w:color w:val="auto"/>
        </w:rPr>
      </w:pPr>
    </w:p>
    <w:p>
      <w:pPr>
        <w:ind w:left="1540" w:hanging="1534"/>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59664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4"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UFP Industries, Inc., as Plan Administrator, has duly caused this annual report to be signed on its behalf by the undersigned hereunto duly authorized.</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Employees’ Profit</w:t>
            </w:r>
          </w:p>
        </w:tc>
      </w:tr>
      <w:tr>
        <w:trPr>
          <w:trHeight w:val="283"/>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Sharing and 401(k) Plan</w:t>
            </w:r>
          </w:p>
        </w:tc>
      </w:tr>
      <w:tr>
        <w:trPr>
          <w:trHeight w:val="358"/>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57"/>
        </w:trPr>
        <w:tc>
          <w:tcPr>
            <w:tcW w:w="460" w:type="dxa"/>
            <w:vAlign w:val="bottom"/>
          </w:tcPr>
          <w:p>
            <w:pPr>
              <w:spacing w:after="0"/>
              <w:rPr>
                <w:sz w:val="22"/>
                <w:szCs w:val="22"/>
                <w:color w:val="auto"/>
              </w:rPr>
            </w:pPr>
          </w:p>
        </w:tc>
        <w:tc>
          <w:tcPr>
            <w:tcW w:w="33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3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311"/>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r>
        <w:trPr>
          <w:trHeight w:val="533"/>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Nancy A. DeGood</w:t>
            </w:r>
          </w:p>
        </w:tc>
      </w:tr>
      <w:tr>
        <w:trPr>
          <w:trHeight w:val="257"/>
        </w:trPr>
        <w:tc>
          <w:tcPr>
            <w:tcW w:w="460" w:type="dxa"/>
            <w:vAlign w:val="bottom"/>
          </w:tcPr>
          <w:p>
            <w:pPr>
              <w:spacing w:after="0"/>
              <w:rPr>
                <w:sz w:val="22"/>
                <w:szCs w:val="22"/>
                <w:color w:val="auto"/>
              </w:rPr>
            </w:pPr>
          </w:p>
        </w:tc>
        <w:tc>
          <w:tcPr>
            <w:tcW w:w="33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3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Nancy A. DeGood,</w:t>
            </w:r>
          </w:p>
        </w:tc>
      </w:tr>
      <w:tr>
        <w:trPr>
          <w:trHeight w:val="270"/>
        </w:trPr>
        <w:tc>
          <w:tcPr>
            <w:tcW w:w="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596646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4" w:name="page15"/>
    <w:bookmarkEnd w:id="1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(33-84632) of UFP Industries, Inc. of our report dated June 12, 2026, relating to the financial statements and supplemental schedule of UFP Industries, Inc. Employees’ Profit Sharing and 401(k) Plan which appear in this Form 11-K for the year ended December 31, 2025.</w:t>
      </w: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2026-06-12T14:08:34Z</dcterms:created>
  <dcterms:modified xsi:type="dcterms:W3CDTF">2026-06-12T14:08:34Z</dcterms:modified>
</cp:coreProperties>
</file>