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377190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2"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September 26, 2026</w:t>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39" w:lineRule="exact"/>
        <w:rPr>
          <w:sz w:val="24"/>
          <w:szCs w:val="24"/>
          <w:color w:val="auto"/>
        </w:rPr>
      </w:pPr>
    </w:p>
    <w:p>
      <w:pPr>
        <w:ind w:left="3860" w:right="1280" w:hanging="3850"/>
        <w:spacing w:after="0" w:line="396" w:lineRule="auto"/>
        <w:tabs>
          <w:tab w:leader="none" w:pos="273"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u w:val="single" w:color="auto"/>
          <w:color w:val="auto"/>
        </w:rPr>
        <w:t>0-22684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UFP INDUSTRIES, INC.</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520" w:type="dxa"/>
        <w:tblCellMar>
          <w:top w:w="0" w:type="dxa"/>
          <w:left w:w="0" w:type="dxa"/>
          <w:bottom w:w="0" w:type="dxa"/>
          <w:right w:w="0" w:type="dxa"/>
        </w:tblCellMar>
      </w:tblPr>
      <w:tr>
        <w:trPr>
          <w:trHeight w:val="241"/>
        </w:trPr>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Michigan</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14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38-1465835</w:t>
            </w:r>
          </w:p>
        </w:tc>
      </w:tr>
      <w:tr>
        <w:trPr>
          <w:trHeight w:val="198"/>
        </w:trPr>
        <w:tc>
          <w:tcPr>
            <w:tcW w:w="4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980" w:type="dxa"/>
            <w:vAlign w:val="bottom"/>
          </w:tcPr>
          <w:p>
            <w:pPr>
              <w:spacing w:after="0"/>
              <w:rPr>
                <w:sz w:val="17"/>
                <w:szCs w:val="17"/>
                <w:color w:val="auto"/>
              </w:rPr>
            </w:pPr>
          </w:p>
        </w:tc>
        <w:tc>
          <w:tcPr>
            <w:tcW w:w="4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9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9"/>
        </w:trPr>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2801 East Beltline NE, Grand Rapids, Michigan</w:t>
            </w:r>
          </w:p>
        </w:tc>
        <w:tc>
          <w:tcPr>
            <w:tcW w:w="980" w:type="dxa"/>
            <w:vAlign w:val="bottom"/>
          </w:tcPr>
          <w:p>
            <w:pPr>
              <w:spacing w:after="0"/>
              <w:rPr>
                <w:sz w:val="24"/>
                <w:szCs w:val="24"/>
                <w:color w:val="auto"/>
              </w:rPr>
            </w:pPr>
          </w:p>
        </w:tc>
        <w:tc>
          <w:tcPr>
            <w:tcW w:w="41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49525</w:t>
            </w:r>
          </w:p>
        </w:tc>
      </w:tr>
      <w:tr>
        <w:trPr>
          <w:trHeight w:val="234"/>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8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6"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(616) 364-6161</w:t>
      </w:r>
    </w:p>
    <w:p>
      <w:pPr>
        <w:spacing w:after="0" w:line="22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974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1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2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5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7"/>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UFPI</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198" w:lineRule="exact"/>
        <w:rPr>
          <w:sz w:val="24"/>
          <w:szCs w:val="24"/>
          <w:color w:val="auto"/>
        </w:rPr>
      </w:pPr>
    </w:p>
    <w:p>
      <w:pPr>
        <w:jc w:val="both"/>
        <w:ind w:left="20"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20"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88" w:right="819" w:bottom="1440" w:gutter="0" w:footer="0" w:header="0"/>
        </w:sectPr>
      </w:pPr>
    </w:p>
    <w:p>
      <w:pPr>
        <w:spacing w:after="0" w:line="41" w:lineRule="exact"/>
        <w:rPr>
          <w:sz w:val="24"/>
          <w:szCs w:val="24"/>
          <w:color w:val="auto"/>
        </w:rPr>
      </w:pPr>
    </w:p>
    <w:p>
      <w:pPr>
        <w:ind w:left="54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both"/>
        <w:ind w:right="800"/>
        <w:spacing w:after="0" w:line="260"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Emerging Growth Company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sectPr>
          <w:pgSz w:w="11900" w:h="16838" w:orient="portrait"/>
          <w:cols w:equalWidth="0" w:num="4">
            <w:col w:w="2500" w:space="660"/>
            <w:col w:w="1440" w:space="280"/>
            <w:col w:w="1820" w:space="480"/>
            <w:col w:w="3080"/>
          </w:cols>
          <w:pgMar w:left="820" w:top="688" w:right="819" w:bottom="1440" w:gutter="0" w:footer="0" w:header="0"/>
          <w:type w:val="continuous"/>
        </w:sectPr>
      </w:pPr>
    </w:p>
    <w:p>
      <w:pPr>
        <w:ind w:left="20" w:right="20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Class</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9"/>
              </w:rPr>
              <w:t>Outstanding as of September 26, 2026</w:t>
            </w: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 par value</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660" w:type="dxa"/>
            <w:vAlign w:val="bottom"/>
            <w:tcBorders>
              <w:top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54,595,341</w:t>
            </w:r>
          </w:p>
        </w:tc>
        <w:tc>
          <w:tcPr>
            <w:tcW w:w="1060" w:type="dxa"/>
            <w:vAlign w:val="bottom"/>
          </w:tcPr>
          <w:p>
            <w:pPr>
              <w:spacing w:after="0"/>
              <w:rPr>
                <w:sz w:val="20"/>
                <w:szCs w:val="20"/>
                <w:color w:val="auto"/>
              </w:rPr>
            </w:pPr>
          </w:p>
        </w:tc>
      </w:tr>
      <w:tr>
        <w:trPr>
          <w:trHeight w:val="130"/>
        </w:trPr>
        <w:tc>
          <w:tcPr>
            <w:tcW w:w="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9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95"/>
        </w:trPr>
        <w:tc>
          <w:tcPr>
            <w:tcW w:w="40" w:type="dxa"/>
            <w:vAlign w:val="bottom"/>
            <w:tcBorders>
              <w:right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r>
      <w:tr>
        <w:trPr>
          <w:trHeight w:val="574"/>
        </w:trPr>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88"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66"/>
        </w:trPr>
        <w:tc>
          <w:tcPr>
            <w:tcW w:w="8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UFP INDUSTRIES, INC.</w:t>
            </w:r>
          </w:p>
        </w:tc>
        <w:tc>
          <w:tcPr>
            <w:tcW w:w="78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gridSpan w:val="10"/>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4"/>
                <w:szCs w:val="24"/>
                <w:color w:val="auto"/>
              </w:rPr>
            </w:pPr>
          </w:p>
        </w:tc>
      </w:tr>
      <w:tr>
        <w:trPr>
          <w:trHeight w:val="453"/>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Page No.</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67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84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5"/>
        </w:trPr>
        <w:tc>
          <w:tcPr>
            <w:tcW w:w="8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September 26, 2026, December 27, 2025 and</w:t>
            </w:r>
          </w:p>
        </w:tc>
        <w:tc>
          <w:tcPr>
            <w:tcW w:w="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217"/>
        </w:trPr>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74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September 27, 2025</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8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5"/>
        </w:trPr>
        <w:tc>
          <w:tcPr>
            <w:tcW w:w="8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and Comprehensive Income for the Three</w:t>
            </w:r>
          </w:p>
        </w:tc>
        <w:tc>
          <w:tcPr>
            <w:tcW w:w="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217"/>
        </w:trPr>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74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Nine Months Ended September 26, 2026 and September 27, 2025</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8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5"/>
        </w:trPr>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7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and Nine Months</w:t>
            </w:r>
          </w:p>
        </w:tc>
        <w:tc>
          <w:tcPr>
            <w:tcW w:w="780" w:type="dxa"/>
            <w:vAlign w:val="bottom"/>
            <w:shd w:val="clear" w:color="auto" w:fill="CCEEFF"/>
          </w:tcPr>
          <w:p>
            <w:pPr>
              <w:spacing w:after="0"/>
              <w:rPr>
                <w:sz w:val="15"/>
                <w:szCs w:val="15"/>
                <w:color w:val="auto"/>
              </w:rPr>
            </w:pPr>
          </w:p>
        </w:tc>
      </w:tr>
      <w:tr>
        <w:trPr>
          <w:trHeight w:val="217"/>
        </w:trPr>
        <w:tc>
          <w:tcPr>
            <w:tcW w:w="8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60" w:type="dxa"/>
            <w:vAlign w:val="bottom"/>
            <w:tcBorders>
              <w:top w:val="single" w:sz="8" w:color="0000EE"/>
            </w:tcBorders>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Ended September 26, 2026 and September 27, 2025</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8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6"/>
        </w:trPr>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7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w:t>
            </w:r>
          </w:p>
        </w:tc>
        <w:tc>
          <w:tcPr>
            <w:tcW w:w="780" w:type="dxa"/>
            <w:vAlign w:val="bottom"/>
            <w:shd w:val="clear" w:color="auto" w:fill="CCEEFF"/>
          </w:tcPr>
          <w:p>
            <w:pPr>
              <w:spacing w:after="0"/>
              <w:rPr>
                <w:sz w:val="15"/>
                <w:szCs w:val="15"/>
                <w:color w:val="auto"/>
              </w:rPr>
            </w:pPr>
          </w:p>
        </w:tc>
      </w:tr>
      <w:tr>
        <w:trPr>
          <w:trHeight w:val="217"/>
        </w:trPr>
        <w:tc>
          <w:tcPr>
            <w:tcW w:w="8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60" w:type="dxa"/>
            <w:vAlign w:val="bottom"/>
            <w:tcBorders>
              <w:top w:val="single" w:sz="8" w:color="0000EE"/>
            </w:tcBorders>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September 26, 2026 and September 27, 2025</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8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7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6"/>
        </w:trPr>
        <w:tc>
          <w:tcPr>
            <w:tcW w:w="8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7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r>
      <w:tr>
        <w:trPr>
          <w:trHeight w:val="216"/>
        </w:trPr>
        <w:tc>
          <w:tcPr>
            <w:tcW w:w="84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67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r>
      <w:tr>
        <w:trPr>
          <w:trHeight w:val="216"/>
        </w:trPr>
        <w:tc>
          <w:tcPr>
            <w:tcW w:w="84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67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r>
      <w:tr>
        <w:trPr>
          <w:trHeight w:val="216"/>
        </w:trPr>
        <w:tc>
          <w:tcPr>
            <w:tcW w:w="84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216"/>
        </w:trPr>
        <w:tc>
          <w:tcPr>
            <w:tcW w:w="1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7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67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Proceedings – NONE</w:t>
            </w:r>
          </w:p>
        </w:tc>
        <w:tc>
          <w:tcPr>
            <w:tcW w:w="7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67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r>
      <w:tr>
        <w:trPr>
          <w:trHeight w:val="216"/>
        </w:trPr>
        <w:tc>
          <w:tcPr>
            <w:tcW w:w="84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7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r>
      <w:tr>
        <w:trPr>
          <w:trHeight w:val="216"/>
        </w:trPr>
        <w:tc>
          <w:tcPr>
            <w:tcW w:w="84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67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Defaults upon Senior Securities – NONE</w:t>
            </w:r>
          </w:p>
        </w:tc>
        <w:tc>
          <w:tcPr>
            <w:tcW w:w="7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67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 Safety Disclosures – NONE</w:t>
            </w:r>
          </w:p>
        </w:tc>
        <w:tc>
          <w:tcPr>
            <w:tcW w:w="7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67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r>
      <w:tr>
        <w:trPr>
          <w:trHeight w:val="216"/>
        </w:trPr>
        <w:tc>
          <w:tcPr>
            <w:tcW w:w="84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6"/>
        </w:trPr>
        <w:tc>
          <w:tcPr>
            <w:tcW w:w="840" w:type="dxa"/>
            <w:vAlign w:val="bottom"/>
            <w:shd w:val="clear" w:color="auto" w:fill="CCEEFF"/>
          </w:tcPr>
          <w:p>
            <w:pPr>
              <w:spacing w:after="0"/>
              <w:rPr>
                <w:sz w:val="15"/>
                <w:szCs w:val="15"/>
                <w:color w:val="auto"/>
              </w:rPr>
            </w:pPr>
          </w:p>
        </w:tc>
        <w:tc>
          <w:tcPr>
            <w:tcW w:w="7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67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27" w:right="1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except share data)</w:t>
            </w:r>
          </w:p>
        </w:tc>
        <w:tc>
          <w:tcPr>
            <w:tcW w:w="14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7"/>
              </w:rPr>
              <w:t>December 27,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80" w:type="dxa"/>
            <w:vAlign w:val="bottom"/>
          </w:tcPr>
          <w:p>
            <w:pPr>
              <w:ind w:left="52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2"/>
                <w:szCs w:val="12"/>
                <w:color w:val="auto"/>
              </w:rPr>
            </w:pP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gridSpan w:val="2"/>
            <w:shd w:val="clear" w:color="auto" w:fill="CCEEFF"/>
          </w:tcPr>
          <w:p>
            <w:pPr>
              <w:jc w:val="right"/>
              <w:ind w:right="5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677,446</w:t>
            </w:r>
          </w:p>
        </w:tc>
        <w:tc>
          <w:tcPr>
            <w:tcW w:w="3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914,199</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1,008,632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10,872</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47,526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34,374</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684,638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475,959</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607,537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389,597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380,206</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357,932</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341,814</w:t>
            </w:r>
          </w:p>
        </w:tc>
        <w:tc>
          <w:tcPr>
            <w:tcW w:w="180" w:type="dxa"/>
            <w:vAlign w:val="bottom"/>
            <w:tcBorders>
              <w:bottom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313,397</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inventories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747,529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722,020</w:t>
            </w:r>
          </w:p>
        </w:tc>
        <w:tc>
          <w:tcPr>
            <w:tcW w:w="18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667,418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receivable</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17,010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38,373</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Assets held for sale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6,340</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bottom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81,431</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66,515</w:t>
            </w:r>
          </w:p>
        </w:tc>
        <w:tc>
          <w:tcPr>
            <w:tcW w:w="180" w:type="dxa"/>
            <w:vAlign w:val="bottom"/>
            <w:tcBorders>
              <w:bottom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56,708</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2,257,161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2,268,652</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2,387,084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Deferred income taxes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8,025</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5,231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investments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51,796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50,540</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48,488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Right of use assets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167,367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115,790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123,369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Other assets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99,545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102,433</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345,632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343,921</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342,145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Indefinite-lived intangible assets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7,359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7,336</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Other intangible assets, net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124,055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133,616</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139,305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Property, plant and equipment: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2"/>
                <w:szCs w:val="12"/>
                <w:color w:val="auto"/>
              </w:rPr>
            </w:pP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2,093,944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1,936,470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1,900,849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(1,022,990)</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(943,890)</w:t>
            </w:r>
          </w:p>
        </w:tc>
        <w:tc>
          <w:tcPr>
            <w:tcW w:w="180" w:type="dxa"/>
            <w:vAlign w:val="bottom"/>
            <w:tcBorders>
              <w:bottom w:val="single" w:sz="8" w:color="CCEEFF"/>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(924,952)</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1,070,954</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992,580</w:t>
            </w: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975,897</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80" w:type="dxa"/>
            <w:vAlign w:val="bottom"/>
            <w:tcBorders>
              <w:bottom w:val="single" w:sz="8" w:color="CCEEFF"/>
            </w:tcBorders>
          </w:tcPr>
          <w:p>
            <w:pPr>
              <w:ind w:left="100"/>
              <w:spacing w:after="0" w:line="136"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4,133,966</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4,022,893</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4,135,551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temporary equity and shareholders’ equity</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2"/>
                <w:szCs w:val="12"/>
                <w:color w:val="auto"/>
              </w:rPr>
            </w:pP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gridSpan w:val="2"/>
            <w:shd w:val="clear" w:color="auto" w:fill="CCEEFF"/>
          </w:tcPr>
          <w:p>
            <w:pPr>
              <w:jc w:val="right"/>
              <w:ind w:right="5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279,768</w:t>
            </w:r>
          </w:p>
        </w:tc>
        <w:tc>
          <w:tcPr>
            <w:tcW w:w="3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205,932</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231,905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compensation and benefits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189,204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188,354</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183,619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accrued liabilities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82,986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71,039</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82,537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26,964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27,997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28,767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80" w:type="dxa"/>
            <w:vAlign w:val="bottom"/>
            <w:tcBorders>
              <w:bottom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5,247</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899</w:t>
            </w:r>
          </w:p>
        </w:tc>
        <w:tc>
          <w:tcPr>
            <w:tcW w:w="180" w:type="dxa"/>
            <w:vAlign w:val="bottom"/>
            <w:tcBorders>
              <w:bottom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5,386</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584,169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494,221</w:t>
            </w:r>
          </w:p>
        </w:tc>
        <w:tc>
          <w:tcPr>
            <w:tcW w:w="18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532,214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Long-term debt and finance lease obligations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229,114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228,859</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229,007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Lease liability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150,111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99,085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Deferred income taxes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82,944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83,205</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30,270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Other liabilities</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31,067</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28,816</w:t>
            </w:r>
          </w:p>
        </w:tc>
        <w:tc>
          <w:tcPr>
            <w:tcW w:w="180" w:type="dxa"/>
            <w:vAlign w:val="bottom"/>
            <w:tcBorders>
              <w:bottom w:val="single" w:sz="8" w:color="CCEEFF"/>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29,687</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1,077,405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934,186</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927,278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Temporary Equity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Redeemable noncontrolling interest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2"/>
                <w:szCs w:val="12"/>
                <w:color w:val="auto"/>
              </w:rPr>
            </w:pP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Controlling interest shareholders’ equity:</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8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Preferred stock, no par value; shares authorized 1,000,000; issued and outstanding,</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8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Common stock, $1 par value; shares authorized 240,000,000; issued and</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54,595</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56,592</w:t>
            </w:r>
          </w:p>
        </w:tc>
        <w:tc>
          <w:tcPr>
            <w:tcW w:w="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58,257</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outstanding, 54,595,341, 56,591,900 and 58,257,224</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476,506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444,828</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434,441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2,505,340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2,559,375</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2,689,507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(687)</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w:t>
            </w:r>
          </w:p>
        </w:tc>
        <w:tc>
          <w:tcPr>
            <w:tcW w:w="180" w:type="dxa"/>
            <w:vAlign w:val="bottom"/>
            <w:tcBorders>
              <w:bottom w:val="single" w:sz="8" w:color="CCEEFF"/>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(1,760)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controlling interest shareholders’ equity</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3,035,754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3,062,359</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3,180,445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20,331</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21,885</w:t>
            </w:r>
          </w:p>
        </w:tc>
        <w:tc>
          <w:tcPr>
            <w:tcW w:w="180" w:type="dxa"/>
            <w:vAlign w:val="bottom"/>
            <w:tcBorders>
              <w:bottom w:val="single" w:sz="8" w:color="CCEEFF"/>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22,810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80" w:type="dxa"/>
            <w:vAlign w:val="bottom"/>
            <w:tcBorders>
              <w:bottom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3,056,085</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3,084,244</w:t>
            </w:r>
          </w:p>
        </w:tc>
        <w:tc>
          <w:tcPr>
            <w:tcW w:w="180" w:type="dxa"/>
            <w:vAlign w:val="bottom"/>
            <w:tcBorders>
              <w:bottom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3,203,255</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100"/>
              <w:spacing w:after="0" w:line="136" w:lineRule="exact"/>
              <w:rPr>
                <w:sz w:val="20"/>
                <w:szCs w:val="20"/>
                <w:color w:val="auto"/>
              </w:rPr>
            </w:pPr>
            <w:r>
              <w:rPr>
                <w:rFonts w:ascii="Times New Roman" w:cs="Times New Roman" w:eastAsia="Times New Roman" w:hAnsi="Times New Roman"/>
                <w:sz w:val="14"/>
                <w:szCs w:val="14"/>
                <w:b w:val="1"/>
                <w:bCs w:val="1"/>
                <w:color w:val="auto"/>
              </w:rPr>
              <w:t>Total liabilities, temporary equity and shareholders’ equity</w:t>
            </w:r>
          </w:p>
        </w:tc>
        <w:tc>
          <w:tcPr>
            <w:tcW w:w="140" w:type="dxa"/>
            <w:vAlign w:val="bottom"/>
          </w:tcPr>
          <w:p>
            <w:pPr>
              <w:spacing w:after="0"/>
              <w:rPr>
                <w:sz w:val="11"/>
                <w:szCs w:val="11"/>
                <w:color w:val="auto"/>
              </w:rPr>
            </w:pPr>
          </w:p>
        </w:tc>
        <w:tc>
          <w:tcPr>
            <w:tcW w:w="1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4,133,966</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4,022,893</w:t>
            </w:r>
          </w:p>
        </w:tc>
        <w:tc>
          <w:tcPr>
            <w:tcW w:w="18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4,135,551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See notes to unaudited interim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except per share data)</w:t>
            </w:r>
          </w:p>
        </w:tc>
        <w:tc>
          <w:tcPr>
            <w:tcW w:w="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56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1,732,836</w:t>
            </w:r>
          </w:p>
        </w:tc>
        <w:tc>
          <w:tcPr>
            <w:tcW w:w="300" w:type="dxa"/>
            <w:vAlign w:val="bottom"/>
            <w:gridSpan w:val="2"/>
            <w:shd w:val="clear" w:color="auto" w:fill="CCEEFF"/>
          </w:tcPr>
          <w:p>
            <w:pPr>
              <w:jc w:val="right"/>
              <w:ind w:right="3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1,559,627</w:t>
            </w:r>
          </w:p>
        </w:tc>
        <w:tc>
          <w:tcPr>
            <w:tcW w:w="1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5,077,040</w:t>
            </w:r>
          </w:p>
        </w:tc>
        <w:tc>
          <w:tcPr>
            <w:tcW w:w="3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4,990,520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Cost of sales</w:t>
            </w:r>
          </w:p>
        </w:tc>
        <w:tc>
          <w:tcPr>
            <w:tcW w:w="5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1,487,915</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1,296,946</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4,305,995</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4,146,909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244,921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262,681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771,045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843,611</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178,091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170,030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536,694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531,279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(gain) loss on disposition and impairments of assets</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6,212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(income) losses, net</w:t>
            </w:r>
          </w:p>
        </w:tc>
        <w:tc>
          <w:tcPr>
            <w:tcW w:w="5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1,232</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174,765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173,210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533,392</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538,797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from operations</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70,156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89,471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237,653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304,814</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 other</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7,339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and investment income</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(12,142)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(23,298)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(34,016)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 in earnings of investee</w:t>
            </w:r>
          </w:p>
        </w:tc>
        <w:tc>
          <w:tcPr>
            <w:tcW w:w="5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(2,087)</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(3,066)</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interest and other</w:t>
            </w:r>
          </w:p>
        </w:tc>
        <w:tc>
          <w:tcPr>
            <w:tcW w:w="5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(6,716)</w:t>
            </w: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(9,663)</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(19,025)</w:t>
            </w: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(26,946)</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before income taxes</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76,872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99,134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256,678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331,760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5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18,239</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23,592</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63,777</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75,924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earnings</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58,633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75,542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192,901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255,836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Less net earnings attributable to noncontrolling interest</w:t>
            </w:r>
          </w:p>
        </w:tc>
        <w:tc>
          <w:tcPr>
            <w:tcW w:w="5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(668)</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earnings attributable to controlling interest</w:t>
            </w:r>
          </w:p>
        </w:tc>
        <w:tc>
          <w:tcPr>
            <w:tcW w:w="5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57,965</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75,346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191,611</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 share - basic</w:t>
            </w:r>
          </w:p>
        </w:tc>
        <w:tc>
          <w:tcPr>
            <w:tcW w:w="72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300" w:type="dxa"/>
            <w:vAlign w:val="bottom"/>
            <w:gridSpan w:val="2"/>
            <w:shd w:val="clear" w:color="auto" w:fill="CCEEFF"/>
          </w:tcPr>
          <w:p>
            <w:pPr>
              <w:jc w:val="right"/>
              <w:ind w:right="3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w:t>
            </w:r>
          </w:p>
        </w:tc>
        <w:tc>
          <w:tcPr>
            <w:tcW w:w="3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 share - diluted</w:t>
            </w:r>
          </w:p>
        </w:tc>
        <w:tc>
          <w:tcPr>
            <w:tcW w:w="7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300" w:type="dxa"/>
            <w:vAlign w:val="bottom"/>
            <w:gridSpan w:val="2"/>
          </w:tcPr>
          <w:p>
            <w:pPr>
              <w:jc w:val="right"/>
              <w:ind w:right="3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3.43</w:t>
            </w:r>
          </w:p>
        </w:tc>
        <w:tc>
          <w:tcPr>
            <w:tcW w:w="3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earnings</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58,633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75,542</w:t>
            </w:r>
          </w:p>
        </w:tc>
        <w:tc>
          <w:tcPr>
            <w:tcW w:w="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192,901</w:t>
            </w:r>
          </w:p>
        </w:tc>
        <w:tc>
          <w:tcPr>
            <w:tcW w:w="3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255,836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 (loss) income</w:t>
            </w:r>
          </w:p>
        </w:tc>
        <w:tc>
          <w:tcPr>
            <w:tcW w:w="5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(910)</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(2,062)</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15,426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57,723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76,049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190,839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271,262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Less comprehensive income attributable to noncontrolling interest</w:t>
            </w:r>
          </w:p>
        </w:tc>
        <w:tc>
          <w:tcPr>
            <w:tcW w:w="5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 attributable to controlling interest</w:t>
            </w:r>
          </w:p>
        </w:tc>
        <w:tc>
          <w:tcPr>
            <w:tcW w:w="5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57,327</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75,562</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189,360</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notes to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08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except share and per share data)</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800" w:type="dxa"/>
            <w:vAlign w:val="bottom"/>
            <w:gridSpan w:val="2"/>
          </w:tcPr>
          <w:p>
            <w:pPr>
              <w:jc w:val="right"/>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3"/>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Temporary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continue"/>
          </w:tcPr>
          <w:p>
            <w:pPr>
              <w:spacing w:after="0"/>
              <w:rPr>
                <w:sz w:val="12"/>
                <w:szCs w:val="12"/>
                <w:color w:val="auto"/>
              </w:rPr>
            </w:pPr>
          </w:p>
        </w:tc>
        <w:tc>
          <w:tcPr>
            <w:tcW w:w="90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Capital</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Earnings</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(NCI)</w:t>
            </w: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on December 27, 2025</w:t>
            </w:r>
          </w:p>
        </w:tc>
        <w:tc>
          <w:tcPr>
            <w:tcW w:w="5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Borders>
              <w:right w:val="single" w:sz="8" w:color="CCEEFF"/>
            </w:tcBorders>
            <w:vMerge w:val="continue"/>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$ 56,592</w:t>
            </w:r>
          </w:p>
        </w:tc>
        <w:tc>
          <w:tcPr>
            <w:tcW w:w="80" w:type="dxa"/>
            <w:vAlign w:val="bottom"/>
            <w:vMerge w:val="continue"/>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$ 444,828</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$ 2,559,375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1,564</w:t>
            </w:r>
          </w:p>
        </w:tc>
        <w:tc>
          <w:tcPr>
            <w:tcW w:w="500" w:type="dxa"/>
            <w:vAlign w:val="bottom"/>
            <w:gridSpan w:val="2"/>
            <w:shd w:val="clear" w:color="auto" w:fill="CCEEFF"/>
          </w:tcPr>
          <w:p>
            <w:pPr>
              <w:jc w:val="right"/>
              <w:ind w:right="303"/>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21,885</w:t>
            </w:r>
          </w:p>
        </w:tc>
        <w:tc>
          <w:tcPr>
            <w:tcW w:w="900" w:type="dxa"/>
            <w:vAlign w:val="bottom"/>
            <w:tcBorders>
              <w:right w:val="single" w:sz="8" w:color="CCEEFF"/>
            </w:tcBorders>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$ 3,084,244</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50,774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9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51,079</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9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(1,226)</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debt securities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9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remaining NCI of subsidiary</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8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$0.36 per share - quarterly</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(20,456)</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7,575 shares under employee stock</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0" w:type="dxa"/>
            <w:vAlign w:val="bottom"/>
            <w:tcBorders>
              <w:right w:val="single" w:sz="8" w:color="CCEEFF"/>
            </w:tcBorders>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570</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00" w:type="dxa"/>
            <w:vAlign w:val="bottom"/>
            <w:tcBorders>
              <w:right w:val="single" w:sz="8" w:color="CCEEFF"/>
            </w:tcBorders>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578</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580" w:type="dxa"/>
            <w:vAlign w:val="bottom"/>
            <w:vMerge w:val="continue"/>
            <w:shd w:val="clear" w:color="auto" w:fill="CCEEFF"/>
          </w:tcPr>
          <w:p>
            <w:pPr>
              <w:spacing w:after="0"/>
              <w:rPr>
                <w:sz w:val="14"/>
                <w:szCs w:val="14"/>
                <w:color w:val="auto"/>
              </w:rPr>
            </w:pPr>
          </w:p>
        </w:tc>
        <w:tc>
          <w:tcPr>
            <w:tcW w:w="800" w:type="dxa"/>
            <w:vAlign w:val="bottom"/>
            <w:tcBorders>
              <w:right w:val="single" w:sz="8" w:color="CCEEFF"/>
            </w:tcBorders>
            <w:gridSpan w:val="2"/>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144,425 shares under stock grant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1,896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2,078</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programs</w:t>
            </w:r>
          </w:p>
        </w:tc>
        <w:tc>
          <w:tcPr>
            <w:tcW w:w="5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70,871 shares under deferred</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0" w:type="dxa"/>
            <w:vAlign w:val="bottom"/>
            <w:tcBorders>
              <w:right w:val="single" w:sz="8" w:color="CCEEFF"/>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580" w:type="dxa"/>
            <w:vAlign w:val="bottom"/>
            <w:vMerge w:val="continue"/>
            <w:shd w:val="clear" w:color="auto" w:fill="CCEEFF"/>
          </w:tcPr>
          <w:p>
            <w:pPr>
              <w:spacing w:after="0"/>
              <w:rPr>
                <w:sz w:val="14"/>
                <w:szCs w:val="14"/>
                <w:color w:val="auto"/>
              </w:rPr>
            </w:pPr>
          </w:p>
        </w:tc>
        <w:tc>
          <w:tcPr>
            <w:tcW w:w="800" w:type="dxa"/>
            <w:vAlign w:val="bottom"/>
            <w:tcBorders>
              <w:right w:val="single" w:sz="8" w:color="CCEEFF"/>
            </w:tcBorders>
            <w:gridSpan w:val="2"/>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334,541 shares</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8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(1,193)</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(30,029)</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 compensation</w:t>
            </w:r>
          </w:p>
        </w:tc>
        <w:tc>
          <w:tcPr>
            <w:tcW w:w="580" w:type="dxa"/>
            <w:vAlign w:val="bottom"/>
            <w:shd w:val="clear" w:color="auto" w:fill="CCEEFF"/>
          </w:tcPr>
          <w:p>
            <w:pPr>
              <w:spacing w:after="0"/>
              <w:rPr>
                <w:sz w:val="10"/>
                <w:szCs w:val="10"/>
                <w:color w:val="auto"/>
              </w:rPr>
            </w:pPr>
          </w:p>
        </w:tc>
        <w:tc>
          <w:tcPr>
            <w:tcW w:w="800" w:type="dxa"/>
            <w:vAlign w:val="bottom"/>
            <w:tcBorders>
              <w:right w:val="single" w:sz="8" w:color="CCEEFF"/>
            </w:tcBorders>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8,409</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00" w:type="dxa"/>
            <w:vAlign w:val="bottom"/>
            <w:tcBorders>
              <w:right w:val="single" w:sz="8" w:color="CCEEFF"/>
            </w:tcBorders>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8,409</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arrangements</w:t>
            </w:r>
          </w:p>
        </w:tc>
        <w:tc>
          <w:tcPr>
            <w:tcW w:w="580" w:type="dxa"/>
            <w:vAlign w:val="bottom"/>
            <w:shd w:val="clear" w:color="auto" w:fill="CCEEFF"/>
          </w:tcPr>
          <w:p>
            <w:pPr>
              <w:spacing w:after="0"/>
              <w:rPr>
                <w:sz w:val="14"/>
                <w:szCs w:val="14"/>
                <w:color w:val="auto"/>
              </w:rPr>
            </w:pPr>
          </w:p>
        </w:tc>
        <w:tc>
          <w:tcPr>
            <w:tcW w:w="800" w:type="dxa"/>
            <w:vAlign w:val="bottom"/>
            <w:tcBorders>
              <w:right w:val="single" w:sz="8" w:color="CCEEFF"/>
            </w:tcBorders>
            <w:gridSpan w:val="2"/>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580" w:type="dxa"/>
            <w:vAlign w:val="bottom"/>
          </w:tcPr>
          <w:p>
            <w:pPr>
              <w:spacing w:after="0"/>
              <w:rPr>
                <w:sz w:val="10"/>
                <w:szCs w:val="10"/>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6,881</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6,881</w:t>
            </w:r>
          </w:p>
        </w:tc>
        <w:tc>
          <w:tcPr>
            <w:tcW w:w="60" w:type="dxa"/>
            <w:vAlign w:val="bottom"/>
          </w:tcPr>
          <w:p>
            <w:pPr>
              <w:spacing w:after="0"/>
              <w:rPr>
                <w:sz w:val="10"/>
                <w:szCs w:val="10"/>
                <w:color w:val="auto"/>
              </w:rPr>
            </w:pPr>
          </w:p>
        </w:tc>
        <w:tc>
          <w:tcPr>
            <w:tcW w:w="620" w:type="dxa"/>
            <w:vAlign w:val="bottom"/>
            <w:vMerge w:val="restart"/>
          </w:tcPr>
          <w:p>
            <w:pPr>
              <w:jc w:val="right"/>
              <w:ind w:right="53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8"/>
        </w:trPr>
        <w:tc>
          <w:tcPr>
            <w:tcW w:w="308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5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on March 28, 2026</w:t>
            </w:r>
          </w:p>
        </w:tc>
        <w:tc>
          <w:tcPr>
            <w:tcW w:w="5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Borders>
              <w:right w:val="single" w:sz="8" w:color="CCEEFF"/>
            </w:tcBorders>
            <w:vMerge w:val="continue"/>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$ 56,480</w:t>
            </w:r>
          </w:p>
        </w:tc>
        <w:tc>
          <w:tcPr>
            <w:tcW w:w="80" w:type="dxa"/>
            <w:vAlign w:val="bottom"/>
            <w:vMerge w:val="continue"/>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$ 461,153</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$ 2,561,230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726</w:t>
            </w:r>
          </w:p>
        </w:tc>
        <w:tc>
          <w:tcPr>
            <w:tcW w:w="500" w:type="dxa"/>
            <w:vAlign w:val="bottom"/>
            <w:gridSpan w:val="2"/>
            <w:shd w:val="clear" w:color="auto" w:fill="CCEEFF"/>
          </w:tcPr>
          <w:p>
            <w:pPr>
              <w:jc w:val="right"/>
              <w:ind w:right="303"/>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21,102</w:t>
            </w:r>
          </w:p>
        </w:tc>
        <w:tc>
          <w:tcPr>
            <w:tcW w:w="900" w:type="dxa"/>
            <w:vAlign w:val="bottom"/>
            <w:tcBorders>
              <w:right w:val="single" w:sz="8" w:color="CCEEFF"/>
            </w:tcBorders>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$ 3,100,691</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82,872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9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83,171</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526</w:t>
            </w:r>
          </w:p>
        </w:tc>
        <w:tc>
          <w:tcPr>
            <w:tcW w:w="900" w:type="dxa"/>
            <w:vAlign w:val="bottom"/>
            <w:tcBorders>
              <w:right w:val="single" w:sz="8" w:color="CCEEFF"/>
            </w:tcBorders>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8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(1,169)</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(1,169)</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$0.36 per share - quarterly</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(19,934)</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8,452 shares under employee stock</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0" w:type="dxa"/>
            <w:vAlign w:val="bottom"/>
            <w:tcBorders>
              <w:right w:val="single" w:sz="8" w:color="CCEEFF"/>
            </w:tcBorders>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655</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00" w:type="dxa"/>
            <w:vAlign w:val="bottom"/>
            <w:tcBorders>
              <w:right w:val="single" w:sz="8" w:color="CCEEFF"/>
            </w:tcBorders>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663</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580" w:type="dxa"/>
            <w:vAlign w:val="bottom"/>
            <w:vMerge w:val="continue"/>
            <w:shd w:val="clear" w:color="auto" w:fill="CCEEFF"/>
          </w:tcPr>
          <w:p>
            <w:pPr>
              <w:spacing w:after="0"/>
              <w:rPr>
                <w:sz w:val="14"/>
                <w:szCs w:val="14"/>
                <w:color w:val="auto"/>
              </w:rPr>
            </w:pPr>
          </w:p>
        </w:tc>
        <w:tc>
          <w:tcPr>
            <w:tcW w:w="800" w:type="dxa"/>
            <w:vAlign w:val="bottom"/>
            <w:tcBorders>
              <w:right w:val="single" w:sz="8" w:color="CCEEFF"/>
            </w:tcBorders>
            <w:gridSpan w:val="2"/>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forfeitures of 2,267 shares under stock grant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programs</w:t>
            </w:r>
          </w:p>
        </w:tc>
        <w:tc>
          <w:tcPr>
            <w:tcW w:w="5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10,305 shares under deferred</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0" w:type="dxa"/>
            <w:vAlign w:val="bottom"/>
            <w:tcBorders>
              <w:right w:val="single" w:sz="8" w:color="CCEEFF"/>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580" w:type="dxa"/>
            <w:vAlign w:val="bottom"/>
            <w:vMerge w:val="continue"/>
            <w:shd w:val="clear" w:color="auto" w:fill="CCEEFF"/>
          </w:tcPr>
          <w:p>
            <w:pPr>
              <w:spacing w:after="0"/>
              <w:rPr>
                <w:sz w:val="14"/>
                <w:szCs w:val="14"/>
                <w:color w:val="auto"/>
              </w:rPr>
            </w:pPr>
          </w:p>
        </w:tc>
        <w:tc>
          <w:tcPr>
            <w:tcW w:w="800" w:type="dxa"/>
            <w:vAlign w:val="bottom"/>
            <w:tcBorders>
              <w:right w:val="single" w:sz="8" w:color="CCEEFF"/>
            </w:tcBorders>
            <w:gridSpan w:val="2"/>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1,335,229 shares</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(1,335)</w:t>
            </w:r>
          </w:p>
        </w:tc>
        <w:tc>
          <w:tcPr>
            <w:tcW w:w="8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(111,819)</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 compensation</w:t>
            </w:r>
          </w:p>
        </w:tc>
        <w:tc>
          <w:tcPr>
            <w:tcW w:w="580" w:type="dxa"/>
            <w:vAlign w:val="bottom"/>
            <w:shd w:val="clear" w:color="auto" w:fill="CCEEFF"/>
          </w:tcPr>
          <w:p>
            <w:pPr>
              <w:spacing w:after="0"/>
              <w:rPr>
                <w:sz w:val="10"/>
                <w:szCs w:val="10"/>
                <w:color w:val="auto"/>
              </w:rPr>
            </w:pPr>
          </w:p>
        </w:tc>
        <w:tc>
          <w:tcPr>
            <w:tcW w:w="800" w:type="dxa"/>
            <w:vAlign w:val="bottom"/>
            <w:tcBorders>
              <w:right w:val="single" w:sz="8" w:color="CCEEFF"/>
            </w:tcBorders>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6,948</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00" w:type="dxa"/>
            <w:vAlign w:val="bottom"/>
            <w:tcBorders>
              <w:right w:val="single" w:sz="8" w:color="CCEEFF"/>
            </w:tcBorders>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6,948</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arrangements</w:t>
            </w:r>
          </w:p>
        </w:tc>
        <w:tc>
          <w:tcPr>
            <w:tcW w:w="580" w:type="dxa"/>
            <w:vAlign w:val="bottom"/>
            <w:shd w:val="clear" w:color="auto" w:fill="CCEEFF"/>
          </w:tcPr>
          <w:p>
            <w:pPr>
              <w:spacing w:after="0"/>
              <w:rPr>
                <w:sz w:val="14"/>
                <w:szCs w:val="14"/>
                <w:color w:val="auto"/>
              </w:rPr>
            </w:pPr>
          </w:p>
        </w:tc>
        <w:tc>
          <w:tcPr>
            <w:tcW w:w="800" w:type="dxa"/>
            <w:vAlign w:val="bottom"/>
            <w:tcBorders>
              <w:right w:val="single" w:sz="8" w:color="CCEEFF"/>
            </w:tcBorders>
            <w:gridSpan w:val="2"/>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580" w:type="dxa"/>
            <w:vAlign w:val="bottom"/>
          </w:tcPr>
          <w:p>
            <w:pPr>
              <w:spacing w:after="0"/>
              <w:rPr>
                <w:sz w:val="10"/>
                <w:szCs w:val="10"/>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1,094</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1,094</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08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5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on June 27, 2026</w:t>
            </w:r>
          </w:p>
        </w:tc>
        <w:tc>
          <w:tcPr>
            <w:tcW w:w="5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Borders>
              <w:right w:val="single" w:sz="8" w:color="CCEEFF"/>
            </w:tcBorders>
            <w:vMerge w:val="continue"/>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$ 55,161</w:t>
            </w:r>
          </w:p>
        </w:tc>
        <w:tc>
          <w:tcPr>
            <w:tcW w:w="80" w:type="dxa"/>
            <w:vAlign w:val="bottom"/>
            <w:vMerge w:val="continue"/>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$ 468,534</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$ 2,513,870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gridSpan w:val="3"/>
            <w:shd w:val="clear" w:color="auto" w:fill="CCEEFF"/>
          </w:tcPr>
          <w:p>
            <w:pPr>
              <w:jc w:val="right"/>
              <w:ind w:right="303"/>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(49)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21,927</w:t>
            </w:r>
          </w:p>
        </w:tc>
        <w:tc>
          <w:tcPr>
            <w:tcW w:w="900" w:type="dxa"/>
            <w:vAlign w:val="bottom"/>
            <w:tcBorders>
              <w:right w:val="single" w:sz="8" w:color="CCEEFF"/>
            </w:tcBorders>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$ 3,059,443</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earnings</w:t>
            </w: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57,965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668</w:t>
            </w:r>
          </w:p>
        </w:tc>
        <w:tc>
          <w:tcPr>
            <w:tcW w:w="80" w:type="dxa"/>
            <w:vAlign w:val="bottom"/>
            <w:vMerge w:val="continue"/>
          </w:tcPr>
          <w:p>
            <w:pPr>
              <w:spacing w:after="0"/>
              <w:rPr>
                <w:sz w:val="11"/>
                <w:szCs w:val="11"/>
                <w:color w:val="auto"/>
              </w:rPr>
            </w:pPr>
          </w:p>
        </w:tc>
        <w:tc>
          <w:tcPr>
            <w:tcW w:w="8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58,633</w:t>
            </w:r>
          </w:p>
        </w:tc>
        <w:tc>
          <w:tcPr>
            <w:tcW w:w="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9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8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(2,001)</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(2,001)</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$0.36 per share - quarterly</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(19,809)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(19,809)</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8,621 shares under employee stock</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574</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583</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5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forfeitures of 4,596 shares under stock grant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0" w:type="dxa"/>
            <w:vAlign w:val="bottom"/>
            <w:tcBorders>
              <w:right w:val="single" w:sz="8" w:color="CCEEFF"/>
            </w:tcBorders>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57</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00" w:type="dxa"/>
            <w:vAlign w:val="bottom"/>
            <w:tcBorders>
              <w:right w:val="single" w:sz="8" w:color="CCEEFF"/>
            </w:tcBorders>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580" w:type="dxa"/>
            <w:vAlign w:val="bottom"/>
            <w:vMerge w:val="continue"/>
            <w:shd w:val="clear" w:color="auto" w:fill="CCEEFF"/>
          </w:tcPr>
          <w:p>
            <w:pPr>
              <w:spacing w:after="0"/>
              <w:rPr>
                <w:sz w:val="14"/>
                <w:szCs w:val="14"/>
                <w:color w:val="auto"/>
              </w:rPr>
            </w:pPr>
          </w:p>
        </w:tc>
        <w:tc>
          <w:tcPr>
            <w:tcW w:w="800" w:type="dxa"/>
            <w:vAlign w:val="bottom"/>
            <w:tcBorders>
              <w:right w:val="single" w:sz="8" w:color="CCEEFF"/>
            </w:tcBorders>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10,994 shares under deferred</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5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581,169 shares</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(581)</w:t>
            </w:r>
          </w:p>
        </w:tc>
        <w:tc>
          <w:tcPr>
            <w:tcW w:w="80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(46,689)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(47,336)</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 compensation</w:t>
            </w:r>
          </w:p>
        </w:tc>
        <w:tc>
          <w:tcPr>
            <w:tcW w:w="580" w:type="dxa"/>
            <w:vAlign w:val="bottom"/>
          </w:tcPr>
          <w:p>
            <w:pPr>
              <w:spacing w:after="0"/>
              <w:rPr>
                <w:sz w:val="10"/>
                <w:szCs w:val="10"/>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6,728</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6,728</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arrangements</w:t>
            </w:r>
          </w:p>
        </w:tc>
        <w:tc>
          <w:tcPr>
            <w:tcW w:w="5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5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10"/>
                <w:szCs w:val="10"/>
                <w:color w:val="auto"/>
              </w:rPr>
            </w:pPr>
          </w:p>
        </w:tc>
        <w:tc>
          <w:tcPr>
            <w:tcW w:w="720" w:type="dxa"/>
            <w:vAlign w:val="bottom"/>
            <w:tcBorders>
              <w:right w:val="single" w:sz="8" w:color="CCEEFF"/>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1,115</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10"/>
                <w:szCs w:val="10"/>
                <w:color w:val="auto"/>
              </w:rPr>
            </w:pPr>
          </w:p>
        </w:tc>
        <w:tc>
          <w:tcPr>
            <w:tcW w:w="8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1,115</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60" w:type="dxa"/>
            <w:vAlign w:val="bottom"/>
            <w:tcBorders>
              <w:bottom w:val="single" w:sz="8" w:color="CCEEFF"/>
              <w:right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5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720" w:type="dxa"/>
            <w:vAlign w:val="bottom"/>
            <w:tcBorders>
              <w:bottom w:val="single" w:sz="8" w:color="auto"/>
              <w:right w:val="single" w:sz="8" w:color="CCEEFF"/>
            </w:tcBorders>
            <w:vMerge w:val="continue"/>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820" w:type="dxa"/>
            <w:vAlign w:val="bottom"/>
            <w:tcBorders>
              <w:bottom w:val="single" w:sz="8" w:color="auto"/>
              <w:right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8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on September 26, 2026</w:t>
            </w:r>
          </w:p>
        </w:tc>
        <w:tc>
          <w:tcPr>
            <w:tcW w:w="5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$ 54,595</w:t>
            </w:r>
          </w:p>
        </w:tc>
        <w:tc>
          <w:tcPr>
            <w:tcW w:w="80" w:type="dxa"/>
            <w:vAlign w:val="bottom"/>
          </w:tcPr>
          <w:p>
            <w:pPr>
              <w:spacing w:after="0"/>
              <w:rPr>
                <w:sz w:val="11"/>
                <w:szCs w:val="11"/>
                <w:color w:val="auto"/>
              </w:rPr>
            </w:pPr>
          </w:p>
        </w:tc>
        <w:tc>
          <w:tcPr>
            <w:tcW w:w="720" w:type="dxa"/>
            <w:vAlign w:val="bottom"/>
            <w:tcBorders>
              <w:bottom w:val="single" w:sz="8" w:color="auto"/>
            </w:tcBorders>
          </w:tcPr>
          <w:p>
            <w:pPr>
              <w:jc w:val="right"/>
              <w:ind w:right="68"/>
              <w:spacing w:after="0" w:line="136" w:lineRule="exact"/>
              <w:rPr>
                <w:sz w:val="20"/>
                <w:szCs w:val="20"/>
                <w:color w:val="auto"/>
              </w:rPr>
            </w:pPr>
            <w:r>
              <w:rPr>
                <w:rFonts w:ascii="Times New Roman" w:cs="Times New Roman" w:eastAsia="Times New Roman" w:hAnsi="Times New Roman"/>
                <w:sz w:val="14"/>
                <w:szCs w:val="14"/>
                <w:b w:val="1"/>
                <w:bCs w:val="1"/>
                <w:color w:val="auto"/>
                <w:w w:val="99"/>
              </w:rPr>
              <w:t>$ 476,506</w:t>
            </w: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$ 2,505,340</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(687)</w:t>
            </w:r>
          </w:p>
        </w:tc>
        <w:tc>
          <w:tcPr>
            <w:tcW w:w="80" w:type="dxa"/>
            <w:vAlign w:val="bottom"/>
          </w:tcPr>
          <w:p>
            <w:pPr>
              <w:spacing w:after="0"/>
              <w:rPr>
                <w:sz w:val="11"/>
                <w:szCs w:val="11"/>
                <w:color w:val="auto"/>
              </w:rPr>
            </w:pPr>
          </w:p>
        </w:tc>
        <w:tc>
          <w:tcPr>
            <w:tcW w:w="4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20,331</w:t>
            </w:r>
          </w:p>
        </w:tc>
        <w:tc>
          <w:tcPr>
            <w:tcW w:w="80" w:type="dxa"/>
            <w:vAlign w:val="bottom"/>
          </w:tcPr>
          <w:p>
            <w:pPr>
              <w:spacing w:after="0"/>
              <w:rPr>
                <w:sz w:val="11"/>
                <w:szCs w:val="11"/>
                <w:color w:val="auto"/>
              </w:rPr>
            </w:pPr>
          </w:p>
        </w:tc>
        <w:tc>
          <w:tcPr>
            <w:tcW w:w="820" w:type="dxa"/>
            <w:vAlign w:val="bottom"/>
            <w:tcBorders>
              <w:bottom w:val="single" w:sz="8" w:color="auto"/>
            </w:tcBorders>
          </w:tcPr>
          <w:p>
            <w:pPr>
              <w:jc w:val="right"/>
              <w:ind w:right="48"/>
              <w:spacing w:after="0" w:line="136" w:lineRule="exact"/>
              <w:rPr>
                <w:sz w:val="20"/>
                <w:szCs w:val="20"/>
                <w:color w:val="auto"/>
              </w:rPr>
            </w:pPr>
            <w:r>
              <w:rPr>
                <w:rFonts w:ascii="Times New Roman" w:cs="Times New Roman" w:eastAsia="Times New Roman" w:hAnsi="Times New Roman"/>
                <w:sz w:val="14"/>
                <w:szCs w:val="14"/>
                <w:b w:val="1"/>
                <w:bCs w:val="1"/>
                <w:color w:val="auto"/>
              </w:rPr>
              <w:t>$ 3,056,085</w:t>
            </w: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94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except share and per share data)</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2"/>
          </w:tcPr>
          <w:p>
            <w:pPr>
              <w:jc w:val="right"/>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3"/>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Temporary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Stock</w:t>
            </w:r>
          </w:p>
        </w:tc>
        <w:tc>
          <w:tcPr>
            <w:tcW w:w="8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Capital</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Earnings</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​Interest (NCI)</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on December 28, 2024</w:t>
            </w:r>
          </w:p>
        </w:tc>
        <w:tc>
          <w:tcPr>
            <w:tcW w:w="100" w:type="dxa"/>
            <w:vAlign w:val="bottom"/>
            <w:vMerge w:val="restart"/>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$ 60,724</w:t>
            </w:r>
          </w:p>
        </w:tc>
        <w:tc>
          <w:tcPr>
            <w:tcW w:w="80" w:type="dxa"/>
            <w:vAlign w:val="bottom"/>
            <w:vMerge w:val="continue"/>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$ 403,379</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$ 2,775,280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(15,311)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20,553</w:t>
            </w: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$ 3,244,625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78,753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2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79,606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2,744</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debt securities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$0.35 per share - quarterly</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7,197 shares under employee stock</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0" w:type="dxa"/>
            <w:vAlign w:val="bottom"/>
            <w:tcBorders>
              <w:right w:val="single" w:sz="8" w:color="CCEEFF"/>
            </w:tcBorders>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643</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80" w:type="dxa"/>
            <w:vAlign w:val="bottom"/>
            <w:gridSpan w:val="2"/>
            <w:vMerge w:val="continue"/>
            <w:shd w:val="clear" w:color="auto" w:fill="CCEEFF"/>
          </w:tcPr>
          <w:p>
            <w:pPr>
              <w:spacing w:after="0"/>
              <w:rPr>
                <w:sz w:val="14"/>
                <w:szCs w:val="14"/>
                <w:color w:val="auto"/>
              </w:rPr>
            </w:pPr>
          </w:p>
        </w:tc>
        <w:tc>
          <w:tcPr>
            <w:tcW w:w="800" w:type="dxa"/>
            <w:vAlign w:val="bottom"/>
            <w:tcBorders>
              <w:right w:val="single" w:sz="8" w:color="CCEEFF"/>
            </w:tcBorders>
            <w:gridSpan w:val="2"/>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232,101 shares under stock grant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3,055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3,388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programs</w:t>
            </w:r>
          </w:p>
        </w:tc>
        <w:tc>
          <w:tcPr>
            <w:tcW w:w="6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80,341 shares under deferred</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0" w:type="dxa"/>
            <w:vAlign w:val="bottom"/>
            <w:tcBorders>
              <w:right w:val="single" w:sz="8" w:color="CCEEFF"/>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80" w:type="dxa"/>
            <w:vAlign w:val="bottom"/>
            <w:gridSpan w:val="2"/>
            <w:vMerge w:val="continue"/>
            <w:shd w:val="clear" w:color="auto" w:fill="CCEEFF"/>
          </w:tcPr>
          <w:p>
            <w:pPr>
              <w:spacing w:after="0"/>
              <w:rPr>
                <w:sz w:val="14"/>
                <w:szCs w:val="14"/>
                <w:color w:val="auto"/>
              </w:rPr>
            </w:pPr>
          </w:p>
        </w:tc>
        <w:tc>
          <w:tcPr>
            <w:tcW w:w="800" w:type="dxa"/>
            <w:vAlign w:val="bottom"/>
            <w:tcBorders>
              <w:right w:val="single" w:sz="8" w:color="CCEEFF"/>
            </w:tcBorders>
            <w:gridSpan w:val="2"/>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649,060 shares</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8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(9,460)</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(59,991)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(70,100)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0" w:type="dxa"/>
            <w:vAlign w:val="bottom"/>
            <w:tcBorders>
              <w:right w:val="single" w:sz="8" w:color="CCEEFF"/>
            </w:tcBorders>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11,493</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0" w:type="dxa"/>
            <w:vAlign w:val="bottom"/>
            <w:tcBorders>
              <w:right w:val="single" w:sz="8" w:color="CCEEFF"/>
            </w:tcBorders>
            <w:gridSpan w:val="2"/>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7,888</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7,888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94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on March 29, 2025</w:t>
            </w:r>
          </w:p>
        </w:tc>
        <w:tc>
          <w:tcPr>
            <w:tcW w:w="100" w:type="dxa"/>
            <w:vAlign w:val="bottom"/>
            <w:vMerge w:val="restart"/>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$ 60,395</w:t>
            </w:r>
          </w:p>
        </w:tc>
        <w:tc>
          <w:tcPr>
            <w:tcW w:w="80" w:type="dxa"/>
            <w:vAlign w:val="bottom"/>
            <w:vMerge w:val="continue"/>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$ 416,562</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$ 2,772,821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gridSpan w:val="3"/>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(12,097)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21,375</w:t>
            </w: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$ 3,259,056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5,280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w:t>
            </w:r>
          </w:p>
        </w:tc>
        <w:tc>
          <w:tcPr>
            <w:tcW w:w="2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10,239</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1,615</w:t>
            </w:r>
          </w:p>
        </w:tc>
        <w:tc>
          <w:tcPr>
            <w:tcW w:w="2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(1,818)</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$0.35 per share - quarterly</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7,593 shares under employee stock</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636</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26,949 shares under stock grant</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0" w:type="dxa"/>
            <w:vAlign w:val="bottom"/>
            <w:tcBorders>
              <w:right w:val="single" w:sz="8" w:color="CCEEFF"/>
            </w:tcBorders>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680" w:type="dxa"/>
            <w:vAlign w:val="bottom"/>
            <w:gridSpan w:val="2"/>
            <w:vMerge w:val="continue"/>
            <w:shd w:val="clear" w:color="auto" w:fill="CCEEFF"/>
          </w:tcPr>
          <w:p>
            <w:pPr>
              <w:spacing w:after="0"/>
              <w:rPr>
                <w:sz w:val="14"/>
                <w:szCs w:val="14"/>
                <w:color w:val="auto"/>
              </w:rPr>
            </w:pPr>
          </w:p>
        </w:tc>
        <w:tc>
          <w:tcPr>
            <w:tcW w:w="800" w:type="dxa"/>
            <w:vAlign w:val="bottom"/>
            <w:tcBorders>
              <w:right w:val="single" w:sz="8" w:color="CCEEFF"/>
            </w:tcBorders>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10,998 shares under deferred</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1,874,279 shares</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(1,874)</w:t>
            </w:r>
          </w:p>
        </w:tc>
        <w:tc>
          <w:tcPr>
            <w:tcW w:w="80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(191,393)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8,755</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8,755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10"/>
                <w:szCs w:val="10"/>
                <w:color w:val="auto"/>
              </w:rPr>
            </w:pPr>
          </w:p>
        </w:tc>
        <w:tc>
          <w:tcPr>
            <w:tcW w:w="720" w:type="dxa"/>
            <w:vAlign w:val="bottom"/>
            <w:tcBorders>
              <w:right w:val="single" w:sz="8" w:color="CCEEFF"/>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1,269</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20" w:type="dxa"/>
            <w:vAlign w:val="bottom"/>
            <w:tcBorders>
              <w:bottom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720" w:type="dxa"/>
            <w:vAlign w:val="bottom"/>
            <w:tcBorders>
              <w:bottom w:val="single" w:sz="8" w:color="auto"/>
              <w:right w:val="single" w:sz="8" w:color="CCEEFF"/>
            </w:tcBorders>
            <w:vMerge w:val="continue"/>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on June 28, 2025</w:t>
            </w:r>
          </w:p>
        </w:tc>
        <w:tc>
          <w:tcPr>
            <w:tcW w:w="100" w:type="dxa"/>
            <w:vAlign w:val="bottom"/>
          </w:tcPr>
          <w:p>
            <w:pPr>
              <w:spacing w:after="0"/>
              <w:rPr>
                <w:sz w:val="15"/>
                <w:szCs w:val="15"/>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$ 58,566</w:t>
            </w:r>
          </w:p>
        </w:tc>
        <w:tc>
          <w:tcPr>
            <w:tcW w:w="80" w:type="dxa"/>
            <w:vAlign w:val="bottom"/>
          </w:tcPr>
          <w:p>
            <w:pPr>
              <w:spacing w:after="0"/>
              <w:rPr>
                <w:sz w:val="15"/>
                <w:szCs w:val="15"/>
                <w:color w:val="auto"/>
              </w:rPr>
            </w:pPr>
          </w:p>
        </w:tc>
        <w:tc>
          <w:tcPr>
            <w:tcW w:w="720" w:type="dxa"/>
            <w:vAlign w:val="bottom"/>
          </w:tcPr>
          <w:p>
            <w:pPr>
              <w:jc w:val="right"/>
              <w:ind w:right="68"/>
              <w:spacing w:after="0" w:line="136" w:lineRule="exact"/>
              <w:rPr>
                <w:sz w:val="20"/>
                <w:szCs w:val="20"/>
                <w:color w:val="auto"/>
              </w:rPr>
            </w:pPr>
            <w:r>
              <w:rPr>
                <w:rFonts w:ascii="Times New Roman" w:cs="Times New Roman" w:eastAsia="Times New Roman" w:hAnsi="Times New Roman"/>
                <w:sz w:val="14"/>
                <w:szCs w:val="14"/>
                <w:b w:val="1"/>
                <w:bCs w:val="1"/>
                <w:color w:val="auto"/>
                <w:w w:val="99"/>
              </w:rPr>
              <w:t>$ 425,398</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$ 2,663,394</w:t>
            </w:r>
          </w:p>
        </w:tc>
        <w:tc>
          <w:tcPr>
            <w:tcW w:w="80" w:type="dxa"/>
            <w:vAlign w:val="bottom"/>
          </w:tcPr>
          <w:p>
            <w:pPr>
              <w:spacing w:after="0"/>
              <w:rPr>
                <w:sz w:val="15"/>
                <w:szCs w:val="15"/>
                <w:color w:val="auto"/>
              </w:rPr>
            </w:pP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gridSpan w:val="3"/>
          </w:tcPr>
          <w:p>
            <w:pPr>
              <w:jc w:val="right"/>
              <w:ind w:right="288"/>
              <w:spacing w:after="0" w:line="136" w:lineRule="exact"/>
              <w:rPr>
                <w:sz w:val="20"/>
                <w:szCs w:val="20"/>
                <w:color w:val="auto"/>
              </w:rPr>
            </w:pPr>
            <w:r>
              <w:rPr>
                <w:rFonts w:ascii="Times New Roman" w:cs="Times New Roman" w:eastAsia="Times New Roman" w:hAnsi="Times New Roman"/>
                <w:sz w:val="14"/>
                <w:szCs w:val="14"/>
                <w:b w:val="1"/>
                <w:bCs w:val="1"/>
                <w:color w:val="auto"/>
              </w:rPr>
              <w:t xml:space="preserve">(1,976)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23,081</w:t>
            </w:r>
          </w:p>
        </w:tc>
        <w:tc>
          <w:tcPr>
            <w:tcW w:w="84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$ 3,168,463</w:t>
            </w:r>
          </w:p>
        </w:tc>
        <w:tc>
          <w:tcPr>
            <w:tcW w:w="80" w:type="dxa"/>
            <w:vAlign w:val="bottom"/>
          </w:tcPr>
          <w:p>
            <w:pPr>
              <w:spacing w:after="0"/>
              <w:rPr>
                <w:sz w:val="15"/>
                <w:szCs w:val="15"/>
                <w:color w:val="auto"/>
              </w:rPr>
            </w:pP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5,253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earnings (loss)</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right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75,346</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253</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75,599</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debt securities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$0.35 per share - quarterly</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7,299 shares under employee stock</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0" w:type="dxa"/>
            <w:vAlign w:val="bottom"/>
            <w:tcBorders>
              <w:right w:val="single" w:sz="8" w:color="CCEEFF"/>
            </w:tcBorders>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565</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80" w:type="dxa"/>
            <w:vAlign w:val="bottom"/>
            <w:gridSpan w:val="2"/>
            <w:vMerge w:val="continue"/>
            <w:shd w:val="clear" w:color="auto" w:fill="CCEEFF"/>
          </w:tcPr>
          <w:p>
            <w:pPr>
              <w:spacing w:after="0"/>
              <w:rPr>
                <w:sz w:val="14"/>
                <w:szCs w:val="14"/>
                <w:color w:val="auto"/>
              </w:rPr>
            </w:pPr>
          </w:p>
        </w:tc>
        <w:tc>
          <w:tcPr>
            <w:tcW w:w="800" w:type="dxa"/>
            <w:vAlign w:val="bottom"/>
            <w:tcBorders>
              <w:right w:val="single" w:sz="8" w:color="CCEEFF"/>
            </w:tcBorders>
            <w:gridSpan w:val="2"/>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forfeitures of 30,601 shares under stock grant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programs</w:t>
            </w:r>
          </w:p>
        </w:tc>
        <w:tc>
          <w:tcPr>
            <w:tcW w:w="6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10,940 shares under deferred</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0" w:type="dxa"/>
            <w:vAlign w:val="bottom"/>
            <w:tcBorders>
              <w:right w:val="single" w:sz="8" w:color="CCEEFF"/>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80" w:type="dxa"/>
            <w:vAlign w:val="bottom"/>
            <w:gridSpan w:val="2"/>
            <w:vMerge w:val="continue"/>
            <w:shd w:val="clear" w:color="auto" w:fill="CCEEFF"/>
          </w:tcPr>
          <w:p>
            <w:pPr>
              <w:spacing w:after="0"/>
              <w:rPr>
                <w:sz w:val="14"/>
                <w:szCs w:val="14"/>
                <w:color w:val="auto"/>
              </w:rPr>
            </w:pPr>
          </w:p>
        </w:tc>
        <w:tc>
          <w:tcPr>
            <w:tcW w:w="800" w:type="dxa"/>
            <w:vAlign w:val="bottom"/>
            <w:tcBorders>
              <w:right w:val="single" w:sz="8" w:color="CCEEFF"/>
            </w:tcBorders>
            <w:gridSpan w:val="2"/>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296,562 shares</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8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(28,758)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0" w:type="dxa"/>
            <w:vAlign w:val="bottom"/>
            <w:tcBorders>
              <w:right w:val="single" w:sz="8" w:color="CCEEFF"/>
            </w:tcBorders>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7,497</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0" w:type="dxa"/>
            <w:vAlign w:val="bottom"/>
            <w:tcBorders>
              <w:right w:val="single" w:sz="8" w:color="CCEEFF"/>
            </w:tcBorders>
            <w:gridSpan w:val="2"/>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1,154</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94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on September 27, 2025</w:t>
            </w:r>
          </w:p>
        </w:tc>
        <w:tc>
          <w:tcPr>
            <w:tcW w:w="100" w:type="dxa"/>
            <w:vAlign w:val="bottom"/>
            <w:vMerge w:val="restart"/>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$ 58,257</w:t>
            </w:r>
          </w:p>
        </w:tc>
        <w:tc>
          <w:tcPr>
            <w:tcW w:w="80" w:type="dxa"/>
            <w:vAlign w:val="bottom"/>
            <w:vMerge w:val="continue"/>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$ 434,441</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$ 2,689,507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gridSpan w:val="3"/>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(1,760)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22,810</w:t>
            </w: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$ 3,203,255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notes to unaudited interim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200" w:type="dxa"/>
            <w:vAlign w:val="bottom"/>
          </w:tcPr>
          <w:p>
            <w:pPr>
              <w:spacing w:after="0"/>
              <w:rPr>
                <w:sz w:val="10"/>
                <w:szCs w:val="10"/>
                <w:color w:val="auto"/>
              </w:rPr>
            </w:pPr>
          </w:p>
        </w:tc>
        <w:tc>
          <w:tcPr>
            <w:tcW w:w="9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00" w:type="dxa"/>
            <w:vAlign w:val="bottom"/>
          </w:tcPr>
          <w:p>
            <w:pPr>
              <w:ind w:left="67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192,901</w:t>
            </w:r>
          </w:p>
        </w:tc>
        <w:tc>
          <w:tcPr>
            <w:tcW w:w="4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Adjustments to reconcile net earnings to net cash from operating activities: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16,506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Expense associated with share-based and grant compensation arrangements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22,257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Unrealized gain on investments and other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(4,241)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Impairment of investments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Equity in earnings of investee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(gain) loss on sale, disposition and impairment of assets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(4,585)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Impairment of goodwill and other intangibles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Gain from reduction of estimated earnout liability</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(199,161)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 and cash overdraft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67,016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0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liabilities and other</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33,504</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32,988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Net cash from operating activities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234,516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399,122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used in investing activities: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(122,715)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19,188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Acquisitions and purchases of noncontrolling interest, net of cash received</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(123,097)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(28,379)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sale of investments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0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3,201</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(236,100)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(217,211)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used in financing activities: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35,594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Repayments under revolving credit facilities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(30,718)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Contingent consideration payments and other</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(60,199)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(62,490)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(3,083)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remaining noncontrolling interest of subsidiary</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to taxing authorities in connection with shares directly withheld from employees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(181,281)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(280,987)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0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(245,124)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(352,045)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0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(246,532)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(167,900)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period</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925,071</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678,539</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914,199</w:t>
            </w:r>
          </w:p>
        </w:tc>
        <w:tc>
          <w:tcPr>
            <w:tcW w:w="4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1,171,828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 beginning of period</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10,872</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7,766</w:t>
            </w:r>
          </w:p>
        </w:tc>
        <w:tc>
          <w:tcPr>
            <w:tcW w:w="0" w:type="dxa"/>
            <w:vAlign w:val="bottom"/>
          </w:tcPr>
          <w:p>
            <w:pPr>
              <w:spacing w:after="0"/>
              <w:rPr>
                <w:sz w:val="1"/>
                <w:szCs w:val="1"/>
                <w:color w:val="auto"/>
              </w:rPr>
            </w:pPr>
          </w:p>
        </w:tc>
      </w:tr>
      <w:tr>
        <w:trPr>
          <w:trHeight w:val="182"/>
        </w:trPr>
        <w:tc>
          <w:tcPr>
            <w:tcW w:w="6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period</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925,071</w:t>
            </w:r>
          </w:p>
        </w:tc>
        <w:tc>
          <w:tcPr>
            <w:tcW w:w="2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1,179,594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00" w:type="dxa"/>
            <w:vAlign w:val="bottom"/>
            <w:tcBorders>
              <w:top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677,446</w:t>
            </w: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1,008,632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 end of period</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678,539</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1,011,694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information:</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7,699</w:t>
            </w:r>
          </w:p>
        </w:tc>
        <w:tc>
          <w:tcPr>
            <w:tcW w:w="4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44,769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58,023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activities: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accounts payable</w:t>
            </w:r>
          </w:p>
        </w:tc>
        <w:tc>
          <w:tcPr>
            <w:tcW w:w="2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1,074</w:t>
            </w:r>
          </w:p>
        </w:tc>
        <w:tc>
          <w:tcPr>
            <w:tcW w:w="4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Receivables related to the disposal of property, plant and equipment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issued under deferred compensation plans</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9,535</w:t>
            </w: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10,973</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See notes to unaudited interim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NOTES TO UNAUDITED INTERIM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p>
      <w:pPr>
        <w:spacing w:after="0" w:line="203" w:lineRule="exact"/>
        <w:rPr>
          <w:sz w:val="20"/>
          <w:szCs w:val="20"/>
          <w:color w:val="auto"/>
        </w:rPr>
      </w:pPr>
    </w:p>
    <w:p>
      <w:pPr>
        <w:ind w:left="500" w:hanging="495"/>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Presentation Currency</w:t>
      </w:r>
    </w:p>
    <w:p>
      <w:pPr>
        <w:spacing w:after="0" w:line="227"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are presented in United States dollars (“US dollars” or “USD”), unless otherwise indicated.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of America. All significant intercompany balances and transactions have been eliminated in consolidation.</w:t>
      </w:r>
    </w:p>
    <w:p>
      <w:pPr>
        <w:spacing w:after="0" w:line="187"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consolidate entities in which we have a controlling financial interest. In determining whether we have a controlling financial interest in a partially owned entity and the requirement to consolidate the accounts of that entity, we consider factors such as ownership interest, board representation, management representation, authority to make decisions, and contractual and substantive participating rights of the partners/members as well as whether the entity is a variable interest entity (“VIE”) and whether we are the primary beneficiary. The primary beneficiary of a VIE is the entity that has (i) the power to direct the activities that most significantly impact the entity's economic performance and (ii) the obligation to absorb losses of the VIE or the right to receive benefits from the VIE that could be significant to the VIE. The primary beneficiary is required to consolidate the VIE. We account for unconsolidated VIEs using the equity method of accounting.</w:t>
      </w:r>
    </w:p>
    <w:p>
      <w:pPr>
        <w:spacing w:after="0" w:line="192"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As a result of the investment in Dempsey on June 27, 2022, we own 50% of the issued equity of that entity, and the remaining 50% of the issued equity is owned by the previous owners (“Sellers”). The investment in Dempsey is an unconsolidated variable interest entity and we have accounted for it using the equity method of accounting because we do not have a controlling financial interest in the entity. Per the contracts, the Sellers have a put right to sell their equity interest to us for $50 million and we have a call right to purchase the Seller’s equity interest for $70 million, which were both first exercisable in June 2025 and expire in June 2030. As of September 26, 2026, the carrying value of our investment in Dempsey is $51.1 million, which is recorded in Other Assets on our condensed consolidated balance sheets. Our maximum exposure to loss consists of our investment amount and any contingent loss that may occur in the future as a result of a change in the fair value of Dempsey relative to the strike price of the put option.</w:t>
      </w:r>
    </w:p>
    <w:p>
      <w:pPr>
        <w:spacing w:after="0" w:line="188"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on Form 10-K for the fiscal year ended December 27, 2025.</w:t>
      </w:r>
    </w:p>
    <w:p>
      <w:pPr>
        <w:spacing w:after="0" w:line="180"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September 27, 2025 balances in the accompanying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Held for Sale</w:t>
      </w:r>
    </w:p>
    <w:p>
      <w:pPr>
        <w:spacing w:after="0" w:line="227"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We classify assets and related liabilities as held for sale when the following conditions are met: (i) management has committed to a plan to sell the net assets, (ii) the net assets are available for immediate sale, (iii) there is an active program to locate a buyer, (iv) the sale and transfer of the net assets is probable within one year, (v) the net assets are being actively marketed for sale at a price that is reasonable in relation to the current fair value, and (vi) it is unlikely that significant changes will be made to the plan to sell the net assets. Upon designation as held for sale, we record the assets and related liabilities at the lower of their carrying value or their estimated fair value, reduced for the costs to dispose of the assets and related liabilities, which we determined using the estimated proceeds from the sale.</w:t>
      </w:r>
    </w:p>
    <w:p>
      <w:pPr>
        <w:spacing w:after="0" w:line="18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During the third quarter of 2026, machinery and equipment and real estate within our Construction and Corporate segments met the criteria as held for sale, and therefore we have classified the related assets as held for sale on the condensed consolidated balance sheet. The fair value measurements for the assets held for sale are generally based on Level 3 inputs, which include information obtained from third-party appraisals. The assets had a carrying value of $0.5 million as of September 26, 2026, with no impairment charges recorded in fiscal 2026 or 2025. We have recognized $5.1 million of net gains on the sale of real estate and machinery and equipment that were previously classified as assets held for sale during the year and were included in Net (gain) loss on disposition and impairments of assets on the condensed consolidated statements of earnings and comprehensive income.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Guidance</w:t>
      </w:r>
    </w:p>
    <w:p>
      <w:pPr>
        <w:spacing w:after="0" w:line="227"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ASU 2025-06, Intangible - Goodwill and Other - Internal-Use Software (Subtopic 350-40): Targeted Improvements to the Accounting for Internal-Use Software. The ASU removes all references to prescriptive and sequential software development stages. The ASU requires entities to begin capitalizing software costs when management authorizes and commits to funding the software project, and it is probable that the project will be completed, and the software will be used for its intended purpose. The amendments in this ASU are effective for fiscal years beginning after December 15, 2027, and interim reporting periods within those annual reporting periods, using a prospective, retrospective or modified transition approach, with early adoption permitted. We are currently evaluating the impact of adopting this guidance on the consolidated financial statements and related disclosures.</w:t>
      </w:r>
    </w:p>
    <w:p>
      <w:pPr>
        <w:spacing w:after="0" w:line="192"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(Topic 220): Expense Disaggregation Disclosures. Additionally, in January 2025, the FASB issued ASU 2025-01 to clarify the effective date of ASU 2024-03. This ASU provides guidance to expand disclosures related to the disaggregation of income statement expenses. Also, this ASU requires, in the notes to the financial statements, disclosure of specified information about certain costs and expenses which includes purchases of inventory, employee compensation, depreciation, and intangible asset amortization included in each relevant expense caption. ASU 2025-01 is effective for fiscal years beginning after December 15, 2026, and interim periods within annual reporting periods beginning after December 15, 2027, on a retrospective or prospective basis, with early adoption permitted. We are currently evaluating the impact of adopting this guidance on the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ind w:left="520" w:hanging="475"/>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7" w:lineRule="exact"/>
        <w:rPr>
          <w:sz w:val="20"/>
          <w:szCs w:val="20"/>
          <w:color w:val="auto"/>
        </w:rPr>
      </w:pPr>
    </w:p>
    <w:p>
      <w:pPr>
        <w:ind w:left="40" w:right="260" w:firstLine="492"/>
        <w:spacing w:after="0" w:line="284" w:lineRule="auto"/>
        <w:rPr>
          <w:sz w:val="20"/>
          <w:szCs w:val="20"/>
          <w:color w:val="auto"/>
        </w:rPr>
      </w:pPr>
      <w:r>
        <w:rPr>
          <w:rFonts w:ascii="Times New Roman" w:cs="Times New Roman" w:eastAsia="Times New Roman" w:hAnsi="Times New Roman"/>
          <w:sz w:val="18"/>
          <w:szCs w:val="18"/>
          <w:color w:val="auto"/>
        </w:rPr>
        <w:t xml:space="preserve">We apply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to assets and liabilities measured at fair value. Assets measured at fair value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9"/>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160" w:type="dxa"/>
            <w:vAlign w:val="bottom"/>
          </w:tcPr>
          <w:p>
            <w:pPr>
              <w:spacing w:after="0"/>
              <w:rPr>
                <w:sz w:val="10"/>
                <w:szCs w:val="10"/>
                <w:color w:val="auto"/>
              </w:rPr>
            </w:pPr>
          </w:p>
        </w:tc>
        <w:tc>
          <w:tcPr>
            <w:tcW w:w="80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19"/>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140" w:type="dxa"/>
            <w:vAlign w:val="bottom"/>
          </w:tcPr>
          <w:p>
            <w:pPr>
              <w:spacing w:after="0"/>
              <w:rPr>
                <w:sz w:val="10"/>
                <w:szCs w:val="10"/>
                <w:color w:val="auto"/>
              </w:rPr>
            </w:pPr>
          </w:p>
        </w:tc>
        <w:tc>
          <w:tcPr>
            <w:tcW w:w="80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7"/>
        </w:trPr>
        <w:tc>
          <w:tcPr>
            <w:tcW w:w="12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Money market</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funds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7,022</w:t>
            </w:r>
          </w:p>
        </w:tc>
        <w:tc>
          <w:tcPr>
            <w:tcW w:w="24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150,754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182,051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26,450</w:t>
            </w:r>
          </w:p>
        </w:tc>
        <w:tc>
          <w:tcPr>
            <w:tcW w:w="240" w:type="dxa"/>
            <w:vAlign w:val="bottom"/>
            <w:gridSpan w:val="2"/>
            <w:shd w:val="clear" w:color="auto" w:fill="CCEEFF"/>
          </w:tcPr>
          <w:p>
            <w:pPr>
              <w:jc w:val="center"/>
              <w:ind w:left="81"/>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208,501</w:t>
            </w:r>
          </w:p>
        </w:tc>
        <w:tc>
          <w:tcPr>
            <w:tcW w:w="0" w:type="dxa"/>
            <w:vAlign w:val="bottom"/>
          </w:tcPr>
          <w:p>
            <w:pPr>
              <w:spacing w:after="0"/>
              <w:rPr>
                <w:sz w:val="1"/>
                <w:szCs w:val="1"/>
                <w:color w:val="auto"/>
              </w:rPr>
            </w:pPr>
          </w:p>
        </w:tc>
      </w:tr>
      <w:tr>
        <w:trPr>
          <w:trHeight w:val="181"/>
        </w:trPr>
        <w:tc>
          <w:tcPr>
            <w:tcW w:w="12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Fixed income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funds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49,592</w:t>
            </w:r>
          </w:p>
        </w:tc>
        <w:tc>
          <w:tcPr>
            <w:tcW w:w="0" w:type="dxa"/>
            <w:vAlign w:val="bottom"/>
          </w:tcPr>
          <w:p>
            <w:pPr>
              <w:spacing w:after="0"/>
              <w:rPr>
                <w:sz w:val="1"/>
                <w:szCs w:val="1"/>
                <w:color w:val="auto"/>
              </w:rPr>
            </w:pPr>
          </w:p>
        </w:tc>
      </w:tr>
      <w:tr>
        <w:trPr>
          <w:trHeight w:val="182"/>
        </w:trPr>
        <w:tc>
          <w:tcPr>
            <w:tcW w:w="12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Treasury</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securities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Equity securities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20,889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27,376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48,265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18,492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46,492</w:t>
            </w:r>
          </w:p>
        </w:tc>
        <w:tc>
          <w:tcPr>
            <w:tcW w:w="0" w:type="dxa"/>
            <w:vAlign w:val="bottom"/>
          </w:tcPr>
          <w:p>
            <w:pPr>
              <w:spacing w:after="0"/>
              <w:rPr>
                <w:sz w:val="1"/>
                <w:szCs w:val="1"/>
                <w:color w:val="auto"/>
              </w:rPr>
            </w:pPr>
          </w:p>
        </w:tc>
      </w:tr>
      <w:tr>
        <w:trPr>
          <w:trHeight w:val="181"/>
        </w:trPr>
        <w:tc>
          <w:tcPr>
            <w:tcW w:w="12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4,186</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Mutual funds: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2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Domestic stock</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10,436</w:t>
            </w:r>
          </w:p>
        </w:tc>
        <w:tc>
          <w:tcPr>
            <w:tcW w:w="0" w:type="dxa"/>
            <w:vAlign w:val="bottom"/>
          </w:tcPr>
          <w:p>
            <w:pPr>
              <w:spacing w:after="0"/>
              <w:rPr>
                <w:sz w:val="1"/>
                <w:szCs w:val="1"/>
                <w:color w:val="auto"/>
              </w:rPr>
            </w:pPr>
          </w:p>
        </w:tc>
      </w:tr>
      <w:tr>
        <w:trPr>
          <w:trHeight w:val="181"/>
        </w:trPr>
        <w:tc>
          <w:tcPr>
            <w:tcW w:w="122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International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 funds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Target funds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3"/>
        </w:trPr>
        <w:tc>
          <w:tcPr>
            <w:tcW w:w="1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Bond funds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81"/>
        </w:trPr>
        <w:tc>
          <w:tcPr>
            <w:tcW w:w="12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0" w:type="dxa"/>
            <w:vAlign w:val="bottom"/>
          </w:tcPr>
          <w:p>
            <w:pPr>
              <w:spacing w:after="0"/>
              <w:rPr>
                <w:sz w:val="1"/>
                <w:szCs w:val="1"/>
                <w:color w:val="auto"/>
              </w:rPr>
            </w:pPr>
          </w:p>
        </w:tc>
      </w:tr>
      <w:tr>
        <w:trPr>
          <w:trHeight w:val="231"/>
        </w:trPr>
        <w:tc>
          <w:tcPr>
            <w:tcW w:w="1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Total mutual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13,039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13,039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11,759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11,759</w:t>
            </w:r>
          </w:p>
        </w:tc>
        <w:tc>
          <w:tcPr>
            <w:tcW w:w="0" w:type="dxa"/>
            <w:vAlign w:val="bottom"/>
          </w:tcPr>
          <w:p>
            <w:pPr>
              <w:spacing w:after="0"/>
              <w:rPr>
                <w:sz w:val="1"/>
                <w:szCs w:val="1"/>
                <w:color w:val="auto"/>
              </w:rPr>
            </w:pPr>
          </w:p>
        </w:tc>
      </w:tr>
      <w:tr>
        <w:trPr>
          <w:trHeight w:val="218"/>
        </w:trPr>
        <w:tc>
          <w:tcPr>
            <w:tcW w:w="1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funds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182,579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62,070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31,850</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276,499</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218,012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70,677</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32,186</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320,875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40" w:firstLine="492"/>
        <w:spacing w:after="0" w:line="254" w:lineRule="auto"/>
        <w:rPr>
          <w:sz w:val="20"/>
          <w:szCs w:val="20"/>
          <w:color w:val="auto"/>
        </w:rPr>
      </w:pPr>
      <w:r>
        <w:rPr>
          <w:rFonts w:ascii="Times New Roman" w:cs="Times New Roman" w:eastAsia="Times New Roman" w:hAnsi="Times New Roman"/>
          <w:sz w:val="18"/>
          <w:szCs w:val="18"/>
          <w:color w:val="auto"/>
        </w:rPr>
        <w:t>From the assets measured at fair value as of September 26, 2026, listed in the table above, $149.8 million of money market funds are held in Cash and cash equivalents, $47.4 million of mutual funds, equity securities, fixed income funds, and alternative investments are held in Investments, $27.4 million of equity securities are held in Other assets, $0.1 million of mutual funds are held in Other assets for our deferred compensation plan, and $50.8 million of fixed income funds and $1.0 million of money market funds are held in Restricted investments. As of December 27, 2025, $207.9 million of money market funds were held in Cash and cash equivalents, $34.3 million of mutual funds, equity securities, and alternative investments were held in Investments, $28.0 million of equity securities were held in Other assets, $0.2 million of mutual funds were held in Other assets for our deferred compensation plan, and $49.9 million of fixed income funds and $0.6 million of money market funds were held in Restricted investments.</w:t>
      </w:r>
    </w:p>
    <w:p>
      <w:pPr>
        <w:spacing w:after="0" w:line="188" w:lineRule="exact"/>
        <w:rPr>
          <w:sz w:val="20"/>
          <w:szCs w:val="20"/>
          <w:color w:val="auto"/>
        </w:rPr>
      </w:pPr>
    </w:p>
    <w:p>
      <w:pPr>
        <w:jc w:val="both"/>
        <w:ind w:left="40" w:right="40" w:firstLine="492"/>
        <w:spacing w:after="0" w:line="258" w:lineRule="auto"/>
        <w:rPr>
          <w:sz w:val="20"/>
          <w:szCs w:val="20"/>
          <w:color w:val="auto"/>
        </w:rPr>
      </w:pPr>
      <w:r>
        <w:rPr>
          <w:rFonts w:ascii="Times New Roman" w:cs="Times New Roman" w:eastAsia="Times New Roman" w:hAnsi="Times New Roman"/>
          <w:sz w:val="18"/>
          <w:szCs w:val="18"/>
          <w:color w:val="auto"/>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to any of our financial instruments except for those expressly required by U.S. GAAP.</w:t>
      </w:r>
    </w:p>
    <w:p>
      <w:pPr>
        <w:spacing w:after="0" w:line="183" w:lineRule="exact"/>
        <w:rPr>
          <w:sz w:val="20"/>
          <w:szCs w:val="20"/>
          <w:color w:val="auto"/>
        </w:rPr>
      </w:pPr>
    </w:p>
    <w:p>
      <w:pPr>
        <w:jc w:val="both"/>
        <w:ind w:left="40" w:right="40" w:firstLine="492"/>
        <w:spacing w:after="0" w:line="256" w:lineRule="auto"/>
        <w:rPr>
          <w:sz w:val="20"/>
          <w:szCs w:val="20"/>
          <w:color w:val="auto"/>
        </w:rPr>
      </w:pPr>
      <w:r>
        <w:rPr>
          <w:rFonts w:ascii="Times New Roman" w:cs="Times New Roman" w:eastAsia="Times New Roman" w:hAnsi="Times New Roman"/>
          <w:sz w:val="18"/>
          <w:szCs w:val="18"/>
          <w:color w:val="auto"/>
        </w:rPr>
        <w:t>We have $27.4 and $28.0 million of investments through our Innov8 Fund as of September 26, 2026 and December 27, 2025, respectively, which is designed to invest in emerging projects, services, and technologies. These investments are valued as Level 3 assets and are categorized as “Equity securities.” We evaluate these investments quarterly, including a qualitative assessment for indicators of impairment in accordance with ASC 321-10-35-3. During the first quarter of 2026, we concluded that one investment was fully impaired, resulting in a $4.0 million loss. During the third quarter of 2026, we recognized a $1.6 million gain from an increase in the fair value of an equity investment based on an observable pricing event.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360045</wp:posOffset>
            </wp:positionV>
            <wp:extent cx="57950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200"/>
          </w:cols>
          <w:pgMar w:left="1340" w:top="540" w:right="1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21" w:lineRule="exact"/>
        <w:rPr>
          <w:sz w:val="20"/>
          <w:szCs w:val="20"/>
          <w:color w:val="auto"/>
        </w:rPr>
      </w:pPr>
    </w:p>
    <w:p>
      <w:pPr>
        <w:jc w:val="both"/>
        <w:ind w:right="80" w:firstLine="492"/>
        <w:spacing w:after="0" w:line="261" w:lineRule="auto"/>
        <w:rPr>
          <w:sz w:val="20"/>
          <w:szCs w:val="20"/>
          <w:color w:val="auto"/>
        </w:rPr>
      </w:pPr>
      <w:r>
        <w:rPr>
          <w:rFonts w:ascii="Times New Roman" w:cs="Times New Roman" w:eastAsia="Times New Roman" w:hAnsi="Times New Roman"/>
          <w:sz w:val="18"/>
          <w:szCs w:val="18"/>
          <w:color w:val="auto"/>
        </w:rPr>
        <w:t>In accordance with our investment policy, our wholly-owned captive, Ardellis Insurance Ltd. (“Ardellis”), maintains an investment portfolio, totaling $98.3 million and $84.3 million as of September 26, 2026 and December 27, 2025, respectively, which has been included in the aforementioned table of total investments. This portfolio consists of domestic and international equity securities, alternative investments, and fixed income bonds.</w:t>
      </w:r>
    </w:p>
    <w:p>
      <w:pPr>
        <w:spacing w:after="0" w:line="180" w:lineRule="exact"/>
        <w:rPr>
          <w:sz w:val="20"/>
          <w:szCs w:val="20"/>
          <w:color w:val="auto"/>
        </w:rPr>
      </w:pPr>
    </w:p>
    <w:p>
      <w:pPr>
        <w:jc w:val="both"/>
        <w:ind w:right="80" w:firstLine="492"/>
        <w:spacing w:after="0" w:line="282" w:lineRule="auto"/>
        <w:rPr>
          <w:sz w:val="20"/>
          <w:szCs w:val="20"/>
          <w:color w:val="auto"/>
        </w:rPr>
      </w:pPr>
      <w:r>
        <w:rPr>
          <w:rFonts w:ascii="Times New Roman" w:cs="Times New Roman" w:eastAsia="Times New Roman" w:hAnsi="Times New Roman"/>
          <w:sz w:val="18"/>
          <w:szCs w:val="18"/>
          <w:color w:val="auto"/>
        </w:rPr>
        <w:t>Ardellis’ available for sale investment portfolio, including funds held with the State of Michigan, consists of the following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8"/>
              </w:rPr>
              <w:t>December 27, 2025</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Fair Value</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40" w:type="dxa"/>
            <w:vAlign w:val="bottom"/>
            <w:gridSpan w:val="2"/>
            <w:vMerge w:val="continue"/>
          </w:tcPr>
          <w:p>
            <w:pPr>
              <w:spacing w:after="0"/>
              <w:rPr>
                <w:sz w:val="15"/>
                <w:szCs w:val="15"/>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Gain</w:t>
            </w: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16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60,559</w:t>
            </w:r>
          </w:p>
        </w:tc>
        <w:tc>
          <w:tcPr>
            <w:tcW w:w="1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$ 59,580</w:t>
            </w: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49,551</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Treasury securities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20,889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0" w:type="dxa"/>
            <w:vAlign w:val="bottom"/>
          </w:tcPr>
          <w:p>
            <w:pPr>
              <w:spacing w:after="0"/>
              <w:rPr>
                <w:sz w:val="1"/>
                <w:szCs w:val="1"/>
                <w:color w:val="auto"/>
              </w:rPr>
            </w:pPr>
          </w:p>
        </w:tc>
      </w:tr>
      <w:tr>
        <w:trPr>
          <w:trHeight w:val="23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Alternative investments</w:t>
            </w: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0" w:type="dxa"/>
            <w:vAlign w:val="bottom"/>
          </w:tcPr>
          <w:p>
            <w:pPr>
              <w:spacing w:after="0"/>
              <w:rPr>
                <w:sz w:val="1"/>
                <w:szCs w:val="1"/>
                <w:color w:val="auto"/>
              </w:rPr>
            </w:pPr>
          </w:p>
        </w:tc>
      </w:tr>
      <w:tr>
        <w:trPr>
          <w:trHeight w:val="203"/>
        </w:trPr>
        <w:tc>
          <w:tcPr>
            <w:tcW w:w="28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88,819</w:t>
            </w: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9,440</w:t>
            </w:r>
          </w:p>
        </w:tc>
        <w:tc>
          <w:tcPr>
            <w:tcW w:w="120" w:type="dxa"/>
            <w:vAlign w:val="bottom"/>
            <w:tcBorders>
              <w:top w:val="single" w:sz="8" w:color="CCEEFF"/>
            </w:tcBorders>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$ 98,259</w:t>
            </w: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75,696</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8,575</w:t>
            </w:r>
          </w:p>
        </w:tc>
        <w:tc>
          <w:tcPr>
            <w:tcW w:w="160" w:type="dxa"/>
            <w:vAlign w:val="bottom"/>
            <w:tcBorders>
              <w:top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84,271</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firstLine="492"/>
        <w:spacing w:after="0" w:line="255" w:lineRule="auto"/>
        <w:rPr>
          <w:sz w:val="20"/>
          <w:szCs w:val="20"/>
          <w:color w:val="auto"/>
        </w:rPr>
      </w:pPr>
      <w:r>
        <w:rPr>
          <w:rFonts w:ascii="Times New Roman" w:cs="Times New Roman" w:eastAsia="Times New Roman" w:hAnsi="Times New Roman"/>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pre-tax unrealized gain of the portfolio was $9.4 million and $8.6 million as of September 26, 2026 and December 27, 2025, respectively. Carrying amounts above are recorded in the Investments and Restricted investments line items within the balance sheet as of September 26, 2026 and December 27, 2025.</w:t>
      </w:r>
    </w:p>
    <w:p>
      <w:pPr>
        <w:spacing w:after="0" w:line="185" w:lineRule="exact"/>
        <w:rPr>
          <w:sz w:val="20"/>
          <w:szCs w:val="20"/>
          <w:color w:val="auto"/>
        </w:rPr>
      </w:pPr>
    </w:p>
    <w:p>
      <w:pPr>
        <w:ind w:left="500" w:hanging="495"/>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right="80" w:firstLine="492"/>
        <w:spacing w:after="0" w:line="254" w:lineRule="auto"/>
        <w:rPr>
          <w:sz w:val="20"/>
          <w:szCs w:val="20"/>
          <w:color w:val="auto"/>
        </w:rPr>
      </w:pPr>
      <w:r>
        <w:rPr>
          <w:rFonts w:ascii="Times New Roman" w:cs="Times New Roman" w:eastAsia="Times New Roman" w:hAnsi="Times New Roman"/>
          <w:sz w:val="18"/>
          <w:szCs w:val="18"/>
          <w:color w:val="auto"/>
        </w:rPr>
        <w:t>Within the three primary segments, UFP Retail Solutions (“Retail”), UFP Packaging (“Packaging”) and UFP Construction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92" w:lineRule="exact"/>
        <w:rPr>
          <w:sz w:val="20"/>
          <w:szCs w:val="20"/>
          <w:color w:val="auto"/>
        </w:rPr>
      </w:pPr>
    </w:p>
    <w:p>
      <w:pPr>
        <w:jc w:val="both"/>
        <w:ind w:right="80" w:firstLine="492"/>
        <w:spacing w:after="0" w:line="266" w:lineRule="auto"/>
        <w:rPr>
          <w:sz w:val="20"/>
          <w:szCs w:val="20"/>
          <w:color w:val="auto"/>
        </w:rPr>
      </w:pPr>
      <w:r>
        <w:rPr>
          <w:rFonts w:ascii="Times New Roman" w:cs="Times New Roman" w:eastAsia="Times New Roman" w:hAnsi="Times New Roman"/>
          <w:sz w:val="18"/>
          <w:szCs w:val="18"/>
          <w:color w:val="auto"/>
        </w:rPr>
        <w:t>Certain customer products that we provide require installation by the Company or a third party. Installation revenue is recognized upon completion. If we use a third party for installation, the party will act as an agent to us until completion of the installation.</w:t>
      </w:r>
    </w:p>
    <w:p>
      <w:pPr>
        <w:spacing w:after="0" w:line="176" w:lineRule="exact"/>
        <w:rPr>
          <w:sz w:val="20"/>
          <w:szCs w:val="20"/>
          <w:color w:val="auto"/>
        </w:rPr>
      </w:pPr>
    </w:p>
    <w:p>
      <w:pPr>
        <w:jc w:val="both"/>
        <w:ind w:right="80" w:firstLine="492"/>
        <w:spacing w:after="0" w:line="258" w:lineRule="auto"/>
        <w:rPr>
          <w:sz w:val="20"/>
          <w:szCs w:val="20"/>
          <w:color w:val="auto"/>
        </w:rPr>
      </w:pPr>
      <w:r>
        <w:rPr>
          <w:rFonts w:ascii="Times New Roman" w:cs="Times New Roman" w:eastAsia="Times New Roman" w:hAnsi="Times New Roman"/>
          <w:sz w:val="18"/>
          <w:szCs w:val="18"/>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83" w:lineRule="exact"/>
        <w:rPr>
          <w:sz w:val="20"/>
          <w:szCs w:val="20"/>
          <w:color w:val="auto"/>
        </w:rPr>
      </w:pPr>
    </w:p>
    <w:p>
      <w:pPr>
        <w:jc w:val="both"/>
        <w:ind w:right="80" w:firstLine="492"/>
        <w:spacing w:after="0" w:line="254" w:lineRule="auto"/>
        <w:rPr>
          <w:sz w:val="20"/>
          <w:szCs w:val="20"/>
          <w:color w:val="auto"/>
        </w:rPr>
      </w:pPr>
      <w:r>
        <w:rPr>
          <w:rFonts w:ascii="Times New Roman" w:cs="Times New Roman" w:eastAsia="Times New Roman" w:hAnsi="Times New Roman"/>
          <w:sz w:val="18"/>
          <w:szCs w:val="18"/>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ectPr>
          <w:pgSz w:w="11900" w:h="16838" w:orient="portrait"/>
          <w:cols w:equalWidth="0" w:num="1">
            <w:col w:w="9200"/>
          </w:cols>
          <w:pgMar w:left="1380" w:top="54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200"/>
          </w:cols>
          <w:pgMar w:left="1380" w:top="540" w:right="131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21" w:lineRule="exact"/>
        <w:rPr>
          <w:sz w:val="20"/>
          <w:szCs w:val="20"/>
          <w:color w:val="auto"/>
        </w:rPr>
      </w:pPr>
    </w:p>
    <w:p>
      <w:pPr>
        <w:jc w:val="both"/>
        <w:ind w:right="40" w:firstLine="492"/>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our net sales disaggregated by revenue source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60" w:type="dxa"/>
            <w:vAlign w:val="bottom"/>
            <w:tcBorders>
              <w:bottom w:val="single" w:sz="8" w:color="auto"/>
            </w:tcBorders>
          </w:tcPr>
          <w:p>
            <w:pPr>
              <w:spacing w:after="0"/>
              <w:rPr>
                <w:sz w:val="15"/>
                <w:szCs w:val="15"/>
                <w:color w:val="auto"/>
              </w:rPr>
            </w:pPr>
          </w:p>
        </w:tc>
      </w:tr>
      <w:tr>
        <w:trPr>
          <w:trHeight w:val="219"/>
        </w:trPr>
        <w:tc>
          <w:tcPr>
            <w:tcW w:w="212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September 26,</w:t>
            </w:r>
          </w:p>
        </w:tc>
        <w:tc>
          <w:tcPr>
            <w:tcW w:w="60" w:type="dxa"/>
            <w:vAlign w:val="bottom"/>
          </w:tcPr>
          <w:p>
            <w:pPr>
              <w:spacing w:after="0"/>
              <w:rPr>
                <w:sz w:val="19"/>
                <w:szCs w:val="19"/>
                <w:color w:val="auto"/>
              </w:rPr>
            </w:pPr>
          </w:p>
        </w:tc>
        <w:tc>
          <w:tcPr>
            <w:tcW w:w="14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 September 27,  ​​​</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12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 September 27,</w:t>
            </w:r>
          </w:p>
        </w:tc>
        <w:tc>
          <w:tcPr>
            <w:tcW w:w="760" w:type="dxa"/>
            <w:vAlign w:val="bottom"/>
          </w:tcPr>
          <w:p>
            <w:pPr>
              <w:spacing w:after="0"/>
              <w:rPr>
                <w:sz w:val="19"/>
                <w:szCs w:val="19"/>
                <w:color w:val="auto"/>
              </w:rPr>
            </w:pPr>
          </w:p>
        </w:tc>
      </w:tr>
      <w:tr>
        <w:trPr>
          <w:trHeight w:val="193"/>
        </w:trPr>
        <w:tc>
          <w:tcPr>
            <w:tcW w:w="2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6"/>
                <w:szCs w:val="16"/>
                <w:color w:val="auto"/>
              </w:rPr>
            </w:pPr>
          </w:p>
        </w:tc>
        <w:tc>
          <w:tcPr>
            <w:tcW w:w="8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2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 Revenue</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1,686,573</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1,528,506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4,951,464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4,911,049</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2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Over Time Revenue</w:t>
            </w:r>
          </w:p>
        </w:tc>
        <w:tc>
          <w:tcPr>
            <w:tcW w:w="5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46,263</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31,121</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125,576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79,471</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16"/>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5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1,732,836</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1,559,627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5,077,040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4,990,520</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2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firstLine="492"/>
        <w:spacing w:after="0" w:line="282" w:lineRule="auto"/>
        <w:rPr>
          <w:sz w:val="20"/>
          <w:szCs w:val="20"/>
          <w:color w:val="auto"/>
        </w:rPr>
      </w:pPr>
      <w:r>
        <w:rPr>
          <w:rFonts w:ascii="Times New Roman" w:cs="Times New Roman" w:eastAsia="Times New Roman" w:hAnsi="Times New Roman"/>
          <w:sz w:val="18"/>
          <w:szCs w:val="18"/>
          <w:color w:val="auto"/>
        </w:rPr>
        <w:t>The Construction segment comprises the construction contract revenue shown above. Construction contract revenue is primarily made up of site-built and framing customers.</w:t>
      </w:r>
    </w:p>
    <w:p>
      <w:pPr>
        <w:spacing w:after="0" w:line="162" w:lineRule="exact"/>
        <w:rPr>
          <w:sz w:val="20"/>
          <w:szCs w:val="20"/>
          <w:color w:val="auto"/>
        </w:rPr>
      </w:pPr>
    </w:p>
    <w:p>
      <w:pPr>
        <w:jc w:val="both"/>
        <w:ind w:right="40"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account balances associated with over time revenue which are included in Other current assets and Other accrued liabilities, respectively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560" w:type="dxa"/>
            <w:vAlign w:val="bottom"/>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86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Earnings in Excess of Billings</w:t>
            </w:r>
          </w:p>
        </w:tc>
        <w:tc>
          <w:tcPr>
            <w:tcW w:w="168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vMerge w:val="continue"/>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17,506</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 and Earnings</w:t>
            </w: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00" w:hanging="495"/>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computation of earnings per share (“EPS”) is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20" w:type="dxa"/>
            <w:vAlign w:val="bottom"/>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20" w:type="dxa"/>
            <w:vAlign w:val="bottom"/>
            <w:tcBorders>
              <w:top w:val="single" w:sz="8" w:color="auto"/>
            </w:tcBorders>
            <w:gridSpan w:val="3"/>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60" w:type="dxa"/>
            <w:vAlign w:val="bottom"/>
          </w:tcPr>
          <w:p>
            <w:pPr>
              <w:spacing w:after="0"/>
              <w:rPr>
                <w:sz w:val="10"/>
                <w:szCs w:val="10"/>
                <w:color w:val="auto"/>
              </w:rPr>
            </w:pPr>
          </w:p>
        </w:tc>
        <w:tc>
          <w:tcPr>
            <w:tcW w:w="10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980" w:type="dxa"/>
            <w:vAlign w:val="bottom"/>
            <w:tcBorders>
              <w:top w:val="single" w:sz="8" w:color="auto"/>
            </w:tcBorders>
            <w:gridSpan w:val="3"/>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57,965</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75,346</w:t>
            </w:r>
          </w:p>
        </w:tc>
        <w:tc>
          <w:tcPr>
            <w:tcW w:w="60" w:type="dxa"/>
            <w:vAlign w:val="bottom"/>
          </w:tcPr>
          <w:p>
            <w:pPr>
              <w:spacing w:after="0"/>
              <w:rPr>
                <w:sz w:val="18"/>
                <w:szCs w:val="18"/>
                <w:color w:val="auto"/>
              </w:rPr>
            </w:pP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191,611</w:t>
            </w: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Adjustment for earnings allocated to non-vested restricted common</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equivalents</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earnings for calculating EPS</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55,603</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72,516</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183,984</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245,312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 for non-vested restricted common stock equivalents</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basic EPS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52,800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56,228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53,628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57,221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restricted common stock equivalents</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diluted EPS</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52,900</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56,350</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53,714</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57,327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Pr>
          <w:p>
            <w:pPr>
              <w:spacing w:after="0"/>
              <w:rPr>
                <w:sz w:val="18"/>
                <w:szCs w:val="18"/>
                <w:color w:val="auto"/>
              </w:rPr>
            </w:pP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80" w:hanging="475"/>
        <w:spacing w:after="0"/>
        <w:tabs>
          <w:tab w:leader="none" w:pos="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w:t>
      </w:r>
    </w:p>
    <w:p>
      <w:pPr>
        <w:spacing w:after="0" w:line="229" w:lineRule="exact"/>
        <w:rPr>
          <w:sz w:val="20"/>
          <w:szCs w:val="20"/>
          <w:color w:val="auto"/>
        </w:rPr>
      </w:pPr>
    </w:p>
    <w:p>
      <w:pPr>
        <w:jc w:val="both"/>
        <w:ind w:right="40" w:firstLine="492"/>
        <w:spacing w:after="0" w:line="282" w:lineRule="auto"/>
        <w:rPr>
          <w:sz w:val="20"/>
          <w:szCs w:val="20"/>
          <w:color w:val="auto"/>
        </w:rPr>
      </w:pPr>
      <w:r>
        <w:rPr>
          <w:rFonts w:ascii="Times New Roman" w:cs="Times New Roman" w:eastAsia="Times New Roman" w:hAnsi="Times New Roman"/>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62" w:lineRule="exact"/>
        <w:rPr>
          <w:sz w:val="20"/>
          <w:szCs w:val="20"/>
          <w:color w:val="auto"/>
        </w:rPr>
      </w:pPr>
    </w:p>
    <w:p>
      <w:pPr>
        <w:jc w:val="both"/>
        <w:ind w:right="40" w:firstLine="492"/>
        <w:spacing w:after="0" w:line="266" w:lineRule="auto"/>
        <w:rPr>
          <w:sz w:val="20"/>
          <w:szCs w:val="20"/>
          <w:color w:val="auto"/>
        </w:rPr>
      </w:pPr>
      <w:r>
        <w:rPr>
          <w:rFonts w:ascii="Times New Roman" w:cs="Times New Roman" w:eastAsia="Times New Roman" w:hAnsi="Times New Roman"/>
          <w:sz w:val="18"/>
          <w:szCs w:val="18"/>
          <w:color w:val="auto"/>
        </w:rPr>
        <w:t>On September 26, 2026,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ectPr>
          <w:pgSz w:w="11900" w:h="16838" w:orient="portrait"/>
          <w:cols w:equalWidth="0" w:num="1">
            <w:col w:w="9160"/>
          </w:cols>
          <w:pgMar w:left="1380" w:top="54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60"/>
          </w:cols>
          <w:pgMar w:left="1380" w:top="540" w:right="1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21"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On September 26, 2026, we had outstanding purchase commitments on commenced capital projects of approximately $158.7 million.</w:t>
      </w:r>
    </w:p>
    <w:p>
      <w:pPr>
        <w:spacing w:after="0" w:line="16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provide a variety of warranties for products we manufacture. Historically, warranty claims have not been material. We also distribute products manufactured by other companies. While we do not warrant these products, we have received claims as a distributor of these products when the manufacturer no longer exists or no longer has the ability to pay. Historically, these costs have not had a material effect on our consolidated financial statements.</w:t>
      </w:r>
    </w:p>
    <w:p>
      <w:pPr>
        <w:spacing w:after="0" w:line="180"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September 26, 2026, we had approximately $41.4 million in outstanding payment and performance bonds for open projects. We had approximately $19.4 million in payment and performance bonds outstanding for completed projects which are still under warranty.</w:t>
      </w:r>
    </w:p>
    <w:p>
      <w:pPr>
        <w:spacing w:after="0" w:line="187"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On September 26, 2026, we had outstanding letters of credit totaling $42.7 million, primarily related to certain insurance contracts, industrial development revenue bonds, and other debt agreements described further below.</w:t>
      </w:r>
    </w:p>
    <w:p>
      <w:pPr>
        <w:spacing w:after="0" w:line="162"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lieu of cash deposits, we provide irrevocable letters of credit in favor of our insurers and other third parties to guarantee our performance under certain insurance contracts and other legal agreements. As of September 26, 2026, we have irrevocable letters of credit outstanding totaling approximately $39.3 million for these types of arrangements. We have reserves recorded on our balance sheet, in accrued liabilities, that reflect our expected future liabilities under those insurance arrangements.</w:t>
      </w:r>
    </w:p>
    <w:p>
      <w:pPr>
        <w:spacing w:after="0" w:line="183"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$3.3 million related to our outstanding industrial development revenue bonds. These letters of credit have varying terms but may be renewed at the option of the issuing banks.</w:t>
      </w:r>
    </w:p>
    <w:p>
      <w:pPr>
        <w:spacing w:after="0" w:line="183"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Certain wholly owned domestic subsidiaries have guaranteed the indebtedness of UFP Industries, Inc. in certain debt agreements, including the Series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0"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We did not enter into any new guarantee arrangements during the third quarter of 2026 which would require us to recognize a liability on our balance sheet.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ind w:left="460" w:hanging="455"/>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We completed the following acquisitions during the first nine months of 2026 and during fiscal 2025, which were accounted for using the purchase method (in thousands):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640" w:type="dxa"/>
            <w:vAlign w:val="bottom"/>
            <w:tcBorders>
              <w:top w:val="single" w:sz="8" w:color="auto"/>
              <w:left w:val="single" w:sz="8" w:color="auto"/>
              <w:right w:val="single" w:sz="8" w:color="auto"/>
            </w:tcBorders>
          </w:tcPr>
          <w:p>
            <w:pPr>
              <w:spacing w:after="0"/>
              <w:rPr>
                <w:sz w:val="17"/>
                <w:szCs w:val="17"/>
                <w:color w:val="auto"/>
              </w:rPr>
            </w:pPr>
          </w:p>
        </w:tc>
        <w:tc>
          <w:tcPr>
            <w:tcW w:w="1480" w:type="dxa"/>
            <w:vAlign w:val="bottom"/>
            <w:tcBorders>
              <w:top w:val="single" w:sz="8" w:color="auto"/>
              <w:right w:val="single" w:sz="8" w:color="auto"/>
            </w:tcBorders>
          </w:tcPr>
          <w:p>
            <w:pPr>
              <w:spacing w:after="0"/>
              <w:rPr>
                <w:sz w:val="17"/>
                <w:szCs w:val="17"/>
                <w:color w:val="auto"/>
              </w:rPr>
            </w:pPr>
          </w:p>
        </w:tc>
        <w:tc>
          <w:tcPr>
            <w:tcW w:w="178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Net</w:t>
            </w:r>
          </w:p>
        </w:tc>
        <w:tc>
          <w:tcPr>
            <w:tcW w:w="880" w:type="dxa"/>
            <w:vAlign w:val="bottom"/>
            <w:tcBorders>
              <w:top w:val="single" w:sz="8" w:color="auto"/>
              <w:right w:val="single" w:sz="8" w:color="auto"/>
            </w:tcBorders>
          </w:tcPr>
          <w:p>
            <w:pPr>
              <w:spacing w:after="0"/>
              <w:rPr>
                <w:sz w:val="17"/>
                <w:szCs w:val="17"/>
                <w:color w:val="auto"/>
              </w:rPr>
            </w:pPr>
          </w:p>
        </w:tc>
      </w:tr>
      <w:tr>
        <w:trPr>
          <w:trHeight w:val="203"/>
        </w:trPr>
        <w:tc>
          <w:tcPr>
            <w:tcW w:w="2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7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80" w:type="dxa"/>
            <w:vAlign w:val="bottom"/>
          </w:tcPr>
          <w:p>
            <w:pPr>
              <w:spacing w:after="0"/>
              <w:rPr>
                <w:sz w:val="17"/>
                <w:szCs w:val="17"/>
                <w:color w:val="auto"/>
              </w:rPr>
            </w:pPr>
          </w:p>
        </w:tc>
        <w:tc>
          <w:tcPr>
            <w:tcW w:w="1000" w:type="dxa"/>
            <w:vAlign w:val="bottom"/>
            <w:tcBorders>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Tangible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Operating</w:t>
            </w:r>
          </w:p>
        </w:tc>
      </w:tr>
      <w:tr>
        <w:trPr>
          <w:trHeight w:val="225"/>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Segment</w:t>
            </w:r>
          </w:p>
        </w:tc>
      </w:tr>
      <w:tr>
        <w:trPr>
          <w:trHeight w:val="189"/>
        </w:trPr>
        <w:tc>
          <w:tcPr>
            <w:tcW w:w="2640" w:type="dxa"/>
            <w:vAlign w:val="bottom"/>
            <w:tcBorders>
              <w:left w:val="single" w:sz="8" w:color="auto"/>
              <w:right w:val="single" w:sz="8" w:color="auto"/>
            </w:tcBorders>
            <w:shd w:val="clear" w:color="auto" w:fill="CCEBFF"/>
          </w:tcPr>
          <w:p>
            <w:pPr>
              <w:spacing w:after="0"/>
              <w:rPr>
                <w:sz w:val="16"/>
                <w:szCs w:val="16"/>
                <w:color w:val="auto"/>
              </w:rPr>
            </w:pPr>
          </w:p>
        </w:tc>
        <w:tc>
          <w:tcPr>
            <w:tcW w:w="1480" w:type="dxa"/>
            <w:vAlign w:val="bottom"/>
            <w:tcBorders>
              <w:right w:val="single" w:sz="8" w:color="auto"/>
            </w:tcBorders>
            <w:shd w:val="clear" w:color="auto" w:fill="CCEBFF"/>
          </w:tcPr>
          <w:p>
            <w:pPr>
              <w:spacing w:after="0"/>
              <w:rPr>
                <w:sz w:val="16"/>
                <w:szCs w:val="16"/>
                <w:color w:val="auto"/>
              </w:rPr>
            </w:pPr>
          </w:p>
        </w:tc>
        <w:tc>
          <w:tcPr>
            <w:tcW w:w="178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$19,663</w:t>
            </w:r>
          </w:p>
        </w:tc>
        <w:tc>
          <w:tcPr>
            <w:tcW w:w="140" w:type="dxa"/>
            <w:vAlign w:val="bottom"/>
            <w:shd w:val="clear" w:color="auto" w:fill="CCEBFF"/>
          </w:tcPr>
          <w:p>
            <w:pPr>
              <w:spacing w:after="0"/>
              <w:rPr>
                <w:sz w:val="16"/>
                <w:szCs w:val="16"/>
                <w:color w:val="auto"/>
              </w:rPr>
            </w:pPr>
          </w:p>
        </w:tc>
        <w:tc>
          <w:tcPr>
            <w:tcW w:w="1040" w:type="dxa"/>
            <w:vAlign w:val="bottom"/>
            <w:tcBorders>
              <w:right w:val="single" w:sz="8" w:color="auto"/>
            </w:tcBorders>
            <w:shd w:val="clear" w:color="auto" w:fill="CCEBFF"/>
          </w:tcPr>
          <w:p>
            <w:pPr>
              <w:spacing w:after="0"/>
              <w:rPr>
                <w:sz w:val="16"/>
                <w:szCs w:val="16"/>
                <w:color w:val="auto"/>
              </w:rPr>
            </w:pPr>
          </w:p>
        </w:tc>
        <w:tc>
          <w:tcPr>
            <w:tcW w:w="18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880" w:type="dxa"/>
            <w:vAlign w:val="bottom"/>
            <w:tcBorders>
              <w:right w:val="single" w:sz="8" w:color="auto"/>
            </w:tcBorders>
            <w:shd w:val="clear" w:color="auto" w:fill="CCEBFF"/>
          </w:tcPr>
          <w:p>
            <w:pPr>
              <w:spacing w:after="0"/>
              <w:rPr>
                <w:sz w:val="16"/>
                <w:szCs w:val="16"/>
                <w:color w:val="auto"/>
              </w:rPr>
            </w:pPr>
          </w:p>
        </w:tc>
      </w:tr>
      <w:tr>
        <w:trPr>
          <w:trHeight w:val="203"/>
        </w:trPr>
        <w:tc>
          <w:tcPr>
            <w:tcW w:w="2640" w:type="dxa"/>
            <w:vAlign w:val="bottom"/>
            <w:tcBorders>
              <w:left w:val="single" w:sz="8" w:color="auto"/>
              <w:right w:val="single" w:sz="8" w:color="auto"/>
            </w:tcBorders>
            <w:shd w:val="clear" w:color="auto" w:fill="CCEBFF"/>
          </w:tcPr>
          <w:p>
            <w:pPr>
              <w:spacing w:after="0"/>
              <w:rPr>
                <w:sz w:val="17"/>
                <w:szCs w:val="17"/>
                <w:color w:val="auto"/>
              </w:rPr>
            </w:pPr>
          </w:p>
        </w:tc>
        <w:tc>
          <w:tcPr>
            <w:tcW w:w="148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May 18, 2026</w:t>
            </w:r>
          </w:p>
        </w:tc>
        <w:tc>
          <w:tcPr>
            <w:tcW w:w="178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consideration for 100%</w:t>
            </w:r>
          </w:p>
        </w:tc>
        <w:tc>
          <w:tcPr>
            <w:tcW w:w="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3,440</w:t>
            </w:r>
          </w:p>
        </w:tc>
        <w:tc>
          <w:tcPr>
            <w:tcW w:w="180" w:type="dxa"/>
            <w:vAlign w:val="bottom"/>
            <w:shd w:val="clear" w:color="auto" w:fill="CCEB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16,223</w:t>
            </w:r>
          </w:p>
        </w:tc>
        <w:tc>
          <w:tcPr>
            <w:tcW w:w="88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8"/>
              </w:rPr>
              <w:t>Packaging</w:t>
            </w:r>
          </w:p>
        </w:tc>
      </w:tr>
      <w:tr>
        <w:trPr>
          <w:trHeight w:val="213"/>
        </w:trPr>
        <w:tc>
          <w:tcPr>
            <w:tcW w:w="2640" w:type="dxa"/>
            <w:vAlign w:val="bottom"/>
            <w:tcBorders>
              <w:left w:val="single" w:sz="8" w:color="auto"/>
              <w:bottom w:val="single" w:sz="8" w:color="CCEBFF"/>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Berry Pallets, Inc.</w:t>
            </w:r>
          </w:p>
        </w:tc>
        <w:tc>
          <w:tcPr>
            <w:tcW w:w="1480" w:type="dxa"/>
            <w:vAlign w:val="bottom"/>
            <w:tcBorders>
              <w:bottom w:val="single" w:sz="8" w:color="auto"/>
              <w:right w:val="single" w:sz="8" w:color="auto"/>
            </w:tcBorders>
            <w:shd w:val="clear" w:color="auto" w:fill="CCEBFF"/>
          </w:tcPr>
          <w:p>
            <w:pPr>
              <w:spacing w:after="0"/>
              <w:rPr>
                <w:sz w:val="18"/>
                <w:szCs w:val="18"/>
                <w:color w:val="auto"/>
              </w:rPr>
            </w:pPr>
          </w:p>
        </w:tc>
        <w:tc>
          <w:tcPr>
            <w:tcW w:w="178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asset purchase</w:t>
            </w:r>
          </w:p>
        </w:tc>
        <w:tc>
          <w:tcPr>
            <w:tcW w:w="140" w:type="dxa"/>
            <w:vAlign w:val="bottom"/>
            <w:tcBorders>
              <w:bottom w:val="single" w:sz="8" w:color="auto"/>
            </w:tcBorders>
            <w:shd w:val="clear" w:color="auto" w:fill="CCEBFF"/>
          </w:tcPr>
          <w:p>
            <w:pPr>
              <w:spacing w:after="0"/>
              <w:rPr>
                <w:sz w:val="18"/>
                <w:szCs w:val="18"/>
                <w:color w:val="auto"/>
              </w:rPr>
            </w:pPr>
          </w:p>
        </w:tc>
        <w:tc>
          <w:tcPr>
            <w:tcW w:w="1040" w:type="dxa"/>
            <w:vAlign w:val="bottom"/>
            <w:tcBorders>
              <w:bottom w:val="single" w:sz="8" w:color="auto"/>
              <w:right w:val="single" w:sz="8" w:color="auto"/>
            </w:tcBorders>
            <w:shd w:val="clear" w:color="auto" w:fill="CCEBFF"/>
          </w:tcPr>
          <w:p>
            <w:pPr>
              <w:spacing w:after="0"/>
              <w:rPr>
                <w:sz w:val="18"/>
                <w:szCs w:val="18"/>
                <w:color w:val="auto"/>
              </w:rPr>
            </w:pPr>
          </w:p>
        </w:tc>
        <w:tc>
          <w:tcPr>
            <w:tcW w:w="18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880" w:type="dxa"/>
            <w:vAlign w:val="bottom"/>
            <w:tcBorders>
              <w:bottom w:val="single" w:sz="8" w:color="auto"/>
              <w:right w:val="single" w:sz="8" w:color="auto"/>
            </w:tcBorders>
            <w:shd w:val="clear" w:color="auto" w:fill="CCEBFF"/>
          </w:tcPr>
          <w:p>
            <w:pPr>
              <w:spacing w:after="0"/>
              <w:rPr>
                <w:sz w:val="18"/>
                <w:szCs w:val="18"/>
                <w:color w:val="auto"/>
              </w:rPr>
            </w:pPr>
          </w:p>
        </w:tc>
      </w:tr>
      <w:tr>
        <w:trPr>
          <w:trHeight w:val="206"/>
        </w:trPr>
        <w:tc>
          <w:tcPr>
            <w:tcW w:w="2640" w:type="dxa"/>
            <w:vAlign w:val="bottom"/>
            <w:tcBorders>
              <w:left w:val="single" w:sz="8" w:color="auto"/>
              <w:bottom w:val="single" w:sz="8" w:color="auto"/>
              <w:right w:val="single" w:sz="8" w:color="auto"/>
            </w:tcBorders>
            <w:shd w:val="clear" w:color="auto" w:fill="CCEBFF"/>
          </w:tcPr>
          <w:p>
            <w:pPr>
              <w:spacing w:after="0"/>
              <w:rPr>
                <w:sz w:val="17"/>
                <w:szCs w:val="17"/>
                <w:color w:val="auto"/>
              </w:rPr>
            </w:pPr>
          </w:p>
        </w:tc>
        <w:tc>
          <w:tcPr>
            <w:tcW w:w="4620" w:type="dxa"/>
            <w:vAlign w:val="bottom"/>
            <w:tcBorders>
              <w:bottom w:val="single" w:sz="8" w:color="auto"/>
            </w:tcBorders>
            <w:gridSpan w:val="5"/>
            <w:shd w:val="clear" w:color="auto" w:fill="CCEBFF"/>
          </w:tcPr>
          <w:p>
            <w:pPr>
              <w:spacing w:after="0"/>
              <w:rPr>
                <w:sz w:val="20"/>
                <w:szCs w:val="20"/>
                <w:color w:val="auto"/>
              </w:rPr>
            </w:pPr>
            <w:r>
              <w:rPr>
                <w:rFonts w:ascii="Times New Roman" w:cs="Times New Roman" w:eastAsia="Times New Roman" w:hAnsi="Times New Roman"/>
                <w:sz w:val="16"/>
                <w:szCs w:val="16"/>
                <w:color w:val="auto"/>
              </w:rPr>
              <w:t>Located in Waseca, MN, Berry Pallets is a wood pallet manufacturer.</w:t>
            </w:r>
          </w:p>
        </w:tc>
        <w:tc>
          <w:tcPr>
            <w:tcW w:w="1000" w:type="dxa"/>
            <w:vAlign w:val="bottom"/>
            <w:tcBorders>
              <w:bottom w:val="single" w:sz="8" w:color="auto"/>
              <w:right w:val="single" w:sz="8" w:color="CCEBFF"/>
            </w:tcBorders>
            <w:shd w:val="clear" w:color="auto" w:fill="CCEBFF"/>
          </w:tcPr>
          <w:p>
            <w:pPr>
              <w:spacing w:after="0"/>
              <w:rPr>
                <w:sz w:val="17"/>
                <w:szCs w:val="17"/>
                <w:color w:val="auto"/>
              </w:rPr>
            </w:pPr>
          </w:p>
        </w:tc>
        <w:tc>
          <w:tcPr>
            <w:tcW w:w="880" w:type="dxa"/>
            <w:vAlign w:val="bottom"/>
            <w:tcBorders>
              <w:bottom w:val="single" w:sz="8" w:color="auto"/>
              <w:right w:val="single" w:sz="8" w:color="auto"/>
            </w:tcBorders>
            <w:shd w:val="clear" w:color="auto" w:fill="CCEBFF"/>
          </w:tcPr>
          <w:p>
            <w:pPr>
              <w:spacing w:after="0"/>
              <w:rPr>
                <w:sz w:val="17"/>
                <w:szCs w:val="17"/>
                <w:color w:val="auto"/>
              </w:rPr>
            </w:pPr>
          </w:p>
        </w:tc>
      </w:tr>
      <w:tr>
        <w:trPr>
          <w:trHeight w:val="189"/>
        </w:trPr>
        <w:tc>
          <w:tcPr>
            <w:tcW w:w="2640" w:type="dxa"/>
            <w:vAlign w:val="bottom"/>
            <w:tcBorders>
              <w:left w:val="single" w:sz="8" w:color="auto"/>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$48,338</w:t>
            </w:r>
          </w:p>
        </w:tc>
        <w:tc>
          <w:tcPr>
            <w:tcW w:w="1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03"/>
        </w:trPr>
        <w:tc>
          <w:tcPr>
            <w:tcW w:w="26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May 4, 2026</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consideration for 100%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45,676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Packaging</w:t>
            </w:r>
          </w:p>
        </w:tc>
      </w:tr>
      <w:tr>
        <w:trPr>
          <w:trHeight w:val="213"/>
        </w:trPr>
        <w:tc>
          <w:tcPr>
            <w:tcW w:w="2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John Rock, Inc.</w:t>
            </w:r>
          </w:p>
        </w:tc>
        <w:tc>
          <w:tcPr>
            <w:tcW w:w="14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asset purchase</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r>
      <w:tr>
        <w:trPr>
          <w:trHeight w:val="206"/>
        </w:trPr>
        <w:tc>
          <w:tcPr>
            <w:tcW w:w="2640" w:type="dxa"/>
            <w:vAlign w:val="bottom"/>
            <w:tcBorders>
              <w:left w:val="single" w:sz="8" w:color="auto"/>
              <w:bottom w:val="single" w:sz="8" w:color="auto"/>
              <w:right w:val="single" w:sz="8" w:color="auto"/>
            </w:tcBorders>
          </w:tcPr>
          <w:p>
            <w:pPr>
              <w:spacing w:after="0"/>
              <w:rPr>
                <w:sz w:val="17"/>
                <w:szCs w:val="17"/>
                <w:color w:val="auto"/>
              </w:rPr>
            </w:pPr>
          </w:p>
        </w:tc>
        <w:tc>
          <w:tcPr>
            <w:tcW w:w="56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Located in Coatesville, PA, John Rock designs and manufactures new pallets.</w:t>
            </w:r>
          </w:p>
        </w:tc>
        <w:tc>
          <w:tcPr>
            <w:tcW w:w="880" w:type="dxa"/>
            <w:vAlign w:val="bottom"/>
            <w:tcBorders>
              <w:bottom w:val="single" w:sz="8" w:color="auto"/>
              <w:right w:val="single" w:sz="8" w:color="auto"/>
            </w:tcBorders>
          </w:tcPr>
          <w:p>
            <w:pPr>
              <w:spacing w:after="0"/>
              <w:rPr>
                <w:sz w:val="17"/>
                <w:szCs w:val="17"/>
                <w:color w:val="auto"/>
              </w:rPr>
            </w:pPr>
          </w:p>
        </w:tc>
      </w:tr>
      <w:tr>
        <w:trPr>
          <w:trHeight w:val="189"/>
        </w:trPr>
        <w:tc>
          <w:tcPr>
            <w:tcW w:w="2640" w:type="dxa"/>
            <w:vAlign w:val="bottom"/>
            <w:tcBorders>
              <w:left w:val="single" w:sz="8" w:color="auto"/>
              <w:right w:val="single" w:sz="8" w:color="auto"/>
            </w:tcBorders>
            <w:shd w:val="clear" w:color="auto" w:fill="CCEBFF"/>
          </w:tcPr>
          <w:p>
            <w:pPr>
              <w:spacing w:after="0"/>
              <w:rPr>
                <w:sz w:val="16"/>
                <w:szCs w:val="16"/>
                <w:color w:val="auto"/>
              </w:rPr>
            </w:pPr>
          </w:p>
        </w:tc>
        <w:tc>
          <w:tcPr>
            <w:tcW w:w="1480" w:type="dxa"/>
            <w:vAlign w:val="bottom"/>
            <w:tcBorders>
              <w:right w:val="single" w:sz="8" w:color="auto"/>
            </w:tcBorders>
            <w:shd w:val="clear" w:color="auto" w:fill="CCEBFF"/>
          </w:tcPr>
          <w:p>
            <w:pPr>
              <w:spacing w:after="0"/>
              <w:rPr>
                <w:sz w:val="16"/>
                <w:szCs w:val="16"/>
                <w:color w:val="auto"/>
              </w:rPr>
            </w:pPr>
          </w:p>
        </w:tc>
        <w:tc>
          <w:tcPr>
            <w:tcW w:w="178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$55,097</w:t>
            </w:r>
          </w:p>
        </w:tc>
        <w:tc>
          <w:tcPr>
            <w:tcW w:w="140" w:type="dxa"/>
            <w:vAlign w:val="bottom"/>
            <w:shd w:val="clear" w:color="auto" w:fill="CCEBFF"/>
          </w:tcPr>
          <w:p>
            <w:pPr>
              <w:spacing w:after="0"/>
              <w:rPr>
                <w:sz w:val="16"/>
                <w:szCs w:val="16"/>
                <w:color w:val="auto"/>
              </w:rPr>
            </w:pPr>
          </w:p>
        </w:tc>
        <w:tc>
          <w:tcPr>
            <w:tcW w:w="1040" w:type="dxa"/>
            <w:vAlign w:val="bottom"/>
            <w:tcBorders>
              <w:right w:val="single" w:sz="8" w:color="auto"/>
            </w:tcBorders>
            <w:shd w:val="clear" w:color="auto" w:fill="CCEBFF"/>
          </w:tcPr>
          <w:p>
            <w:pPr>
              <w:spacing w:after="0"/>
              <w:rPr>
                <w:sz w:val="16"/>
                <w:szCs w:val="16"/>
                <w:color w:val="auto"/>
              </w:rPr>
            </w:pPr>
          </w:p>
        </w:tc>
        <w:tc>
          <w:tcPr>
            <w:tcW w:w="18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880" w:type="dxa"/>
            <w:vAlign w:val="bottom"/>
            <w:tcBorders>
              <w:right w:val="single" w:sz="8" w:color="auto"/>
            </w:tcBorders>
            <w:shd w:val="clear" w:color="auto" w:fill="CCEBFF"/>
          </w:tcPr>
          <w:p>
            <w:pPr>
              <w:spacing w:after="0"/>
              <w:rPr>
                <w:sz w:val="16"/>
                <w:szCs w:val="16"/>
                <w:color w:val="auto"/>
              </w:rPr>
            </w:pPr>
          </w:p>
        </w:tc>
      </w:tr>
      <w:tr>
        <w:trPr>
          <w:trHeight w:val="203"/>
        </w:trPr>
        <w:tc>
          <w:tcPr>
            <w:tcW w:w="2640" w:type="dxa"/>
            <w:vAlign w:val="bottom"/>
            <w:tcBorders>
              <w:left w:val="single" w:sz="8" w:color="auto"/>
              <w:right w:val="single" w:sz="8" w:color="auto"/>
            </w:tcBorders>
            <w:shd w:val="clear" w:color="auto" w:fill="CCEBFF"/>
          </w:tcPr>
          <w:p>
            <w:pPr>
              <w:spacing w:after="0"/>
              <w:rPr>
                <w:sz w:val="17"/>
                <w:szCs w:val="17"/>
                <w:color w:val="auto"/>
              </w:rPr>
            </w:pPr>
          </w:p>
        </w:tc>
        <w:tc>
          <w:tcPr>
            <w:tcW w:w="148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April 6, 2026</w:t>
            </w:r>
          </w:p>
        </w:tc>
        <w:tc>
          <w:tcPr>
            <w:tcW w:w="178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consideration for 100%</w:t>
            </w:r>
          </w:p>
        </w:tc>
        <w:tc>
          <w:tcPr>
            <w:tcW w:w="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3,664</w:t>
            </w:r>
          </w:p>
        </w:tc>
        <w:tc>
          <w:tcPr>
            <w:tcW w:w="180" w:type="dxa"/>
            <w:vAlign w:val="bottom"/>
            <w:shd w:val="clear" w:color="auto" w:fill="CCEB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51,433</w:t>
            </w:r>
          </w:p>
        </w:tc>
        <w:tc>
          <w:tcPr>
            <w:tcW w:w="88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Retail</w:t>
            </w:r>
          </w:p>
        </w:tc>
      </w:tr>
      <w:tr>
        <w:trPr>
          <w:trHeight w:val="213"/>
        </w:trPr>
        <w:tc>
          <w:tcPr>
            <w:tcW w:w="2640" w:type="dxa"/>
            <w:vAlign w:val="bottom"/>
            <w:tcBorders>
              <w:left w:val="single" w:sz="8" w:color="auto"/>
              <w:bottom w:val="single" w:sz="8" w:color="CCEBFF"/>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MoistureShield, Inc.</w:t>
            </w:r>
          </w:p>
        </w:tc>
        <w:tc>
          <w:tcPr>
            <w:tcW w:w="1480" w:type="dxa"/>
            <w:vAlign w:val="bottom"/>
            <w:tcBorders>
              <w:bottom w:val="single" w:sz="8" w:color="auto"/>
              <w:right w:val="single" w:sz="8" w:color="auto"/>
            </w:tcBorders>
            <w:shd w:val="clear" w:color="auto" w:fill="CCEBFF"/>
          </w:tcPr>
          <w:p>
            <w:pPr>
              <w:spacing w:after="0"/>
              <w:rPr>
                <w:sz w:val="18"/>
                <w:szCs w:val="18"/>
                <w:color w:val="auto"/>
              </w:rPr>
            </w:pPr>
          </w:p>
        </w:tc>
        <w:tc>
          <w:tcPr>
            <w:tcW w:w="178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asset purchase</w:t>
            </w:r>
          </w:p>
        </w:tc>
        <w:tc>
          <w:tcPr>
            <w:tcW w:w="140" w:type="dxa"/>
            <w:vAlign w:val="bottom"/>
            <w:tcBorders>
              <w:bottom w:val="single" w:sz="8" w:color="auto"/>
            </w:tcBorders>
            <w:shd w:val="clear" w:color="auto" w:fill="CCEBFF"/>
          </w:tcPr>
          <w:p>
            <w:pPr>
              <w:spacing w:after="0"/>
              <w:rPr>
                <w:sz w:val="18"/>
                <w:szCs w:val="18"/>
                <w:color w:val="auto"/>
              </w:rPr>
            </w:pPr>
          </w:p>
        </w:tc>
        <w:tc>
          <w:tcPr>
            <w:tcW w:w="1040" w:type="dxa"/>
            <w:vAlign w:val="bottom"/>
            <w:tcBorders>
              <w:bottom w:val="single" w:sz="8" w:color="auto"/>
              <w:right w:val="single" w:sz="8" w:color="auto"/>
            </w:tcBorders>
            <w:shd w:val="clear" w:color="auto" w:fill="CCEBFF"/>
          </w:tcPr>
          <w:p>
            <w:pPr>
              <w:spacing w:after="0"/>
              <w:rPr>
                <w:sz w:val="18"/>
                <w:szCs w:val="18"/>
                <w:color w:val="auto"/>
              </w:rPr>
            </w:pPr>
          </w:p>
        </w:tc>
        <w:tc>
          <w:tcPr>
            <w:tcW w:w="18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880" w:type="dxa"/>
            <w:vAlign w:val="bottom"/>
            <w:tcBorders>
              <w:bottom w:val="single" w:sz="8" w:color="auto"/>
              <w:right w:val="single" w:sz="8" w:color="auto"/>
            </w:tcBorders>
            <w:shd w:val="clear" w:color="auto" w:fill="CCEBFF"/>
          </w:tcPr>
          <w:p>
            <w:pPr>
              <w:spacing w:after="0"/>
              <w:rPr>
                <w:sz w:val="18"/>
                <w:szCs w:val="18"/>
                <w:color w:val="auto"/>
              </w:rPr>
            </w:pPr>
          </w:p>
        </w:tc>
      </w:tr>
      <w:tr>
        <w:trPr>
          <w:trHeight w:val="185"/>
        </w:trPr>
        <w:tc>
          <w:tcPr>
            <w:tcW w:w="2640" w:type="dxa"/>
            <w:vAlign w:val="bottom"/>
            <w:tcBorders>
              <w:left w:val="single" w:sz="8" w:color="auto"/>
              <w:right w:val="single" w:sz="8" w:color="auto"/>
            </w:tcBorders>
            <w:shd w:val="clear" w:color="auto" w:fill="CCEBFF"/>
          </w:tcPr>
          <w:p>
            <w:pPr>
              <w:spacing w:after="0"/>
              <w:rPr>
                <w:sz w:val="16"/>
                <w:szCs w:val="16"/>
                <w:color w:val="auto"/>
              </w:rPr>
            </w:pPr>
          </w:p>
        </w:tc>
        <w:tc>
          <w:tcPr>
            <w:tcW w:w="65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Located in Springdale, AR, MoistureShield is a leading manufacturer of wood plastic composite</w:t>
            </w:r>
          </w:p>
        </w:tc>
      </w:tr>
      <w:tr>
        <w:trPr>
          <w:trHeight w:val="223"/>
        </w:trPr>
        <w:tc>
          <w:tcPr>
            <w:tcW w:w="26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1480" w:type="dxa"/>
            <w:vAlign w:val="bottom"/>
            <w:tcBorders>
              <w:bottom w:val="single" w:sz="8" w:color="auto"/>
              <w:right w:val="single" w:sz="8" w:color="CCEBFF"/>
            </w:tcBorders>
            <w:shd w:val="clear" w:color="auto" w:fill="CCEBFF"/>
          </w:tcPr>
          <w:p>
            <w:pPr>
              <w:spacing w:after="0"/>
              <w:rPr>
                <w:sz w:val="20"/>
                <w:szCs w:val="20"/>
                <w:color w:val="auto"/>
              </w:rPr>
            </w:pPr>
            <w:r>
              <w:rPr>
                <w:rFonts w:ascii="Times New Roman" w:cs="Times New Roman" w:eastAsia="Times New Roman" w:hAnsi="Times New Roman"/>
                <w:sz w:val="16"/>
                <w:szCs w:val="16"/>
                <w:color w:val="auto"/>
              </w:rPr>
              <w:t>decking.</w:t>
            </w:r>
          </w:p>
        </w:tc>
        <w:tc>
          <w:tcPr>
            <w:tcW w:w="178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1040" w:type="dxa"/>
            <w:vAlign w:val="bottom"/>
            <w:tcBorders>
              <w:bottom w:val="single" w:sz="8" w:color="auto"/>
              <w:right w:val="single" w:sz="8" w:color="CCEBFF"/>
            </w:tcBorders>
            <w:shd w:val="clear" w:color="auto" w:fill="CCEBFF"/>
          </w:tcPr>
          <w:p>
            <w:pPr>
              <w:spacing w:after="0"/>
              <w:rPr>
                <w:sz w:val="19"/>
                <w:szCs w:val="19"/>
                <w:color w:val="auto"/>
              </w:rPr>
            </w:pPr>
          </w:p>
        </w:tc>
        <w:tc>
          <w:tcPr>
            <w:tcW w:w="180" w:type="dxa"/>
            <w:vAlign w:val="bottom"/>
            <w:tcBorders>
              <w:bottom w:val="single" w:sz="8" w:color="auto"/>
            </w:tcBorders>
            <w:shd w:val="clear" w:color="auto" w:fill="CCEBFF"/>
          </w:tcPr>
          <w:p>
            <w:pPr>
              <w:spacing w:after="0"/>
              <w:rPr>
                <w:sz w:val="19"/>
                <w:szCs w:val="19"/>
                <w:color w:val="auto"/>
              </w:rPr>
            </w:pP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880" w:type="dxa"/>
            <w:vAlign w:val="bottom"/>
            <w:tcBorders>
              <w:bottom w:val="single" w:sz="8" w:color="auto"/>
              <w:right w:val="single" w:sz="8" w:color="auto"/>
            </w:tcBorders>
            <w:shd w:val="clear" w:color="auto" w:fill="CCEBFF"/>
          </w:tcPr>
          <w:p>
            <w:pPr>
              <w:spacing w:after="0"/>
              <w:rPr>
                <w:sz w:val="19"/>
                <w:szCs w:val="19"/>
                <w:color w:val="auto"/>
              </w:rPr>
            </w:pPr>
          </w:p>
        </w:tc>
      </w:tr>
      <w:tr>
        <w:trPr>
          <w:trHeight w:val="189"/>
        </w:trPr>
        <w:tc>
          <w:tcPr>
            <w:tcW w:w="2640" w:type="dxa"/>
            <w:vAlign w:val="bottom"/>
            <w:tcBorders>
              <w:left w:val="single" w:sz="8" w:color="auto"/>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$6,531</w:t>
            </w:r>
          </w:p>
        </w:tc>
        <w:tc>
          <w:tcPr>
            <w:tcW w:w="1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03"/>
        </w:trPr>
        <w:tc>
          <w:tcPr>
            <w:tcW w:w="26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July 14, 2025</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consideration for 100%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Construction</w:t>
            </w:r>
          </w:p>
        </w:tc>
      </w:tr>
      <w:tr>
        <w:trPr>
          <w:trHeight w:val="213"/>
        </w:trPr>
        <w:tc>
          <w:tcPr>
            <w:tcW w:w="2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National Supply, LLC</w:t>
            </w:r>
          </w:p>
        </w:tc>
        <w:tc>
          <w:tcPr>
            <w:tcW w:w="14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asset purchase</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r>
      <w:tr>
        <w:trPr>
          <w:trHeight w:val="206"/>
        </w:trPr>
        <w:tc>
          <w:tcPr>
            <w:tcW w:w="2640" w:type="dxa"/>
            <w:vAlign w:val="bottom"/>
            <w:tcBorders>
              <w:left w:val="single" w:sz="8" w:color="auto"/>
              <w:bottom w:val="single" w:sz="8" w:color="auto"/>
              <w:right w:val="single" w:sz="8" w:color="auto"/>
            </w:tcBorders>
          </w:tcPr>
          <w:p>
            <w:pPr>
              <w:spacing w:after="0"/>
              <w:rPr>
                <w:sz w:val="17"/>
                <w:szCs w:val="17"/>
                <w:color w:val="auto"/>
              </w:rPr>
            </w:pPr>
          </w:p>
        </w:tc>
        <w:tc>
          <w:tcPr>
            <w:tcW w:w="56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Located in Elkhart, IN, National Supply is a material supplier in the RV industry.</w:t>
            </w:r>
          </w:p>
        </w:tc>
        <w:tc>
          <w:tcPr>
            <w:tcW w:w="880" w:type="dxa"/>
            <w:vAlign w:val="bottom"/>
            <w:tcBorders>
              <w:bottom w:val="single" w:sz="8" w:color="auto"/>
              <w:right w:val="single" w:sz="8" w:color="auto"/>
            </w:tcBorders>
          </w:tcPr>
          <w:p>
            <w:pPr>
              <w:spacing w:after="0"/>
              <w:rPr>
                <w:sz w:val="17"/>
                <w:szCs w:val="17"/>
                <w:color w:val="auto"/>
              </w:rPr>
            </w:pPr>
          </w:p>
        </w:tc>
      </w:tr>
      <w:tr>
        <w:trPr>
          <w:trHeight w:val="189"/>
        </w:trPr>
        <w:tc>
          <w:tcPr>
            <w:tcW w:w="2640" w:type="dxa"/>
            <w:vAlign w:val="bottom"/>
            <w:tcBorders>
              <w:left w:val="single" w:sz="8" w:color="auto"/>
              <w:right w:val="single" w:sz="8" w:color="auto"/>
            </w:tcBorders>
            <w:shd w:val="clear" w:color="auto" w:fill="CCEBFF"/>
          </w:tcPr>
          <w:p>
            <w:pPr>
              <w:spacing w:after="0"/>
              <w:rPr>
                <w:sz w:val="16"/>
                <w:szCs w:val="16"/>
                <w:color w:val="auto"/>
              </w:rPr>
            </w:pPr>
          </w:p>
        </w:tc>
        <w:tc>
          <w:tcPr>
            <w:tcW w:w="1480" w:type="dxa"/>
            <w:vAlign w:val="bottom"/>
            <w:tcBorders>
              <w:right w:val="single" w:sz="8" w:color="auto"/>
            </w:tcBorders>
            <w:shd w:val="clear" w:color="auto" w:fill="CCEBFF"/>
          </w:tcPr>
          <w:p>
            <w:pPr>
              <w:spacing w:after="0"/>
              <w:rPr>
                <w:sz w:val="16"/>
                <w:szCs w:val="16"/>
                <w:color w:val="auto"/>
              </w:rPr>
            </w:pPr>
          </w:p>
        </w:tc>
        <w:tc>
          <w:tcPr>
            <w:tcW w:w="178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$7,360</w:t>
            </w:r>
          </w:p>
        </w:tc>
        <w:tc>
          <w:tcPr>
            <w:tcW w:w="140" w:type="dxa"/>
            <w:vAlign w:val="bottom"/>
            <w:shd w:val="clear" w:color="auto" w:fill="CCEBFF"/>
          </w:tcPr>
          <w:p>
            <w:pPr>
              <w:spacing w:after="0"/>
              <w:rPr>
                <w:sz w:val="16"/>
                <w:szCs w:val="16"/>
                <w:color w:val="auto"/>
              </w:rPr>
            </w:pPr>
          </w:p>
        </w:tc>
        <w:tc>
          <w:tcPr>
            <w:tcW w:w="1040" w:type="dxa"/>
            <w:vAlign w:val="bottom"/>
            <w:tcBorders>
              <w:right w:val="single" w:sz="8" w:color="auto"/>
            </w:tcBorders>
            <w:shd w:val="clear" w:color="auto" w:fill="CCEBFF"/>
          </w:tcPr>
          <w:p>
            <w:pPr>
              <w:spacing w:after="0"/>
              <w:rPr>
                <w:sz w:val="16"/>
                <w:szCs w:val="16"/>
                <w:color w:val="auto"/>
              </w:rPr>
            </w:pPr>
          </w:p>
        </w:tc>
        <w:tc>
          <w:tcPr>
            <w:tcW w:w="18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880" w:type="dxa"/>
            <w:vAlign w:val="bottom"/>
            <w:tcBorders>
              <w:right w:val="single" w:sz="8" w:color="auto"/>
            </w:tcBorders>
            <w:shd w:val="clear" w:color="auto" w:fill="CCEBFF"/>
          </w:tcPr>
          <w:p>
            <w:pPr>
              <w:spacing w:after="0"/>
              <w:rPr>
                <w:sz w:val="16"/>
                <w:szCs w:val="16"/>
                <w:color w:val="auto"/>
              </w:rPr>
            </w:pPr>
          </w:p>
        </w:tc>
      </w:tr>
      <w:tr>
        <w:trPr>
          <w:trHeight w:val="203"/>
        </w:trPr>
        <w:tc>
          <w:tcPr>
            <w:tcW w:w="2640" w:type="dxa"/>
            <w:vAlign w:val="bottom"/>
            <w:tcBorders>
              <w:left w:val="single" w:sz="8" w:color="auto"/>
              <w:right w:val="single" w:sz="8" w:color="auto"/>
            </w:tcBorders>
            <w:shd w:val="clear" w:color="auto" w:fill="CCEBFF"/>
          </w:tcPr>
          <w:p>
            <w:pPr>
              <w:spacing w:after="0"/>
              <w:rPr>
                <w:sz w:val="17"/>
                <w:szCs w:val="17"/>
                <w:color w:val="auto"/>
              </w:rPr>
            </w:pPr>
          </w:p>
        </w:tc>
        <w:tc>
          <w:tcPr>
            <w:tcW w:w="148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June 16, 2025</w:t>
            </w:r>
          </w:p>
        </w:tc>
        <w:tc>
          <w:tcPr>
            <w:tcW w:w="178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consideration for 100%</w:t>
            </w:r>
          </w:p>
        </w:tc>
        <w:tc>
          <w:tcPr>
            <w:tcW w:w="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80" w:type="dxa"/>
            <w:vAlign w:val="bottom"/>
            <w:shd w:val="clear" w:color="auto" w:fill="CCEB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88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Construction</w:t>
            </w:r>
          </w:p>
        </w:tc>
      </w:tr>
      <w:tr>
        <w:trPr>
          <w:trHeight w:val="213"/>
        </w:trPr>
        <w:tc>
          <w:tcPr>
            <w:tcW w:w="2640" w:type="dxa"/>
            <w:vAlign w:val="bottom"/>
            <w:tcBorders>
              <w:left w:val="single" w:sz="8" w:color="auto"/>
              <w:bottom w:val="single" w:sz="8" w:color="CCEBFF"/>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8"/>
              </w:rPr>
              <w:t>RWP West, LLC</w:t>
            </w:r>
          </w:p>
        </w:tc>
        <w:tc>
          <w:tcPr>
            <w:tcW w:w="1480" w:type="dxa"/>
            <w:vAlign w:val="bottom"/>
            <w:tcBorders>
              <w:bottom w:val="single" w:sz="8" w:color="auto"/>
              <w:right w:val="single" w:sz="8" w:color="auto"/>
            </w:tcBorders>
            <w:shd w:val="clear" w:color="auto" w:fill="CCEBFF"/>
          </w:tcPr>
          <w:p>
            <w:pPr>
              <w:spacing w:after="0"/>
              <w:rPr>
                <w:sz w:val="18"/>
                <w:szCs w:val="18"/>
                <w:color w:val="auto"/>
              </w:rPr>
            </w:pPr>
          </w:p>
        </w:tc>
        <w:tc>
          <w:tcPr>
            <w:tcW w:w="178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asset purchase</w:t>
            </w:r>
          </w:p>
        </w:tc>
        <w:tc>
          <w:tcPr>
            <w:tcW w:w="140" w:type="dxa"/>
            <w:vAlign w:val="bottom"/>
            <w:tcBorders>
              <w:bottom w:val="single" w:sz="8" w:color="auto"/>
            </w:tcBorders>
            <w:shd w:val="clear" w:color="auto" w:fill="CCEBFF"/>
          </w:tcPr>
          <w:p>
            <w:pPr>
              <w:spacing w:after="0"/>
              <w:rPr>
                <w:sz w:val="18"/>
                <w:szCs w:val="18"/>
                <w:color w:val="auto"/>
              </w:rPr>
            </w:pPr>
          </w:p>
        </w:tc>
        <w:tc>
          <w:tcPr>
            <w:tcW w:w="1040" w:type="dxa"/>
            <w:vAlign w:val="bottom"/>
            <w:tcBorders>
              <w:bottom w:val="single" w:sz="8" w:color="auto"/>
              <w:right w:val="single" w:sz="8" w:color="auto"/>
            </w:tcBorders>
            <w:shd w:val="clear" w:color="auto" w:fill="CCEBFF"/>
          </w:tcPr>
          <w:p>
            <w:pPr>
              <w:spacing w:after="0"/>
              <w:rPr>
                <w:sz w:val="18"/>
                <w:szCs w:val="18"/>
                <w:color w:val="auto"/>
              </w:rPr>
            </w:pPr>
          </w:p>
        </w:tc>
        <w:tc>
          <w:tcPr>
            <w:tcW w:w="18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880" w:type="dxa"/>
            <w:vAlign w:val="bottom"/>
            <w:tcBorders>
              <w:bottom w:val="single" w:sz="8" w:color="auto"/>
              <w:right w:val="single" w:sz="8" w:color="auto"/>
            </w:tcBorders>
            <w:shd w:val="clear" w:color="auto" w:fill="CCEBFF"/>
          </w:tcPr>
          <w:p>
            <w:pPr>
              <w:spacing w:after="0"/>
              <w:rPr>
                <w:sz w:val="18"/>
                <w:szCs w:val="18"/>
                <w:color w:val="auto"/>
              </w:rPr>
            </w:pPr>
          </w:p>
        </w:tc>
      </w:tr>
      <w:tr>
        <w:trPr>
          <w:trHeight w:val="185"/>
        </w:trPr>
        <w:tc>
          <w:tcPr>
            <w:tcW w:w="2640" w:type="dxa"/>
            <w:vAlign w:val="bottom"/>
            <w:tcBorders>
              <w:left w:val="single" w:sz="8" w:color="auto"/>
              <w:right w:val="single" w:sz="8" w:color="auto"/>
            </w:tcBorders>
            <w:shd w:val="clear" w:color="auto" w:fill="CCEBFF"/>
          </w:tcPr>
          <w:p>
            <w:pPr>
              <w:spacing w:after="0"/>
              <w:rPr>
                <w:sz w:val="16"/>
                <w:szCs w:val="16"/>
                <w:color w:val="auto"/>
              </w:rPr>
            </w:pPr>
          </w:p>
        </w:tc>
        <w:tc>
          <w:tcPr>
            <w:tcW w:w="65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Located in Twin Falls, ID and established in 2007, RWP West serves the western portion of the US</w:t>
            </w:r>
          </w:p>
        </w:tc>
      </w:tr>
      <w:tr>
        <w:trPr>
          <w:trHeight w:val="223"/>
        </w:trPr>
        <w:tc>
          <w:tcPr>
            <w:tcW w:w="26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6500" w:type="dxa"/>
            <w:vAlign w:val="bottom"/>
            <w:tcBorders>
              <w:bottom w:val="single" w:sz="8" w:color="auto"/>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and is a manufacturer and distributor for the manufactured housing, RV, and cargo markets.</w:t>
            </w: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estimated fair values of assets acquired and liabilities assumed are based on available information at the acquisition date and assumptions deemed reasonable by management, supplemented by the expertise of third-party valuation specialists engaged to assist in determining fair value for intangible assets, including goodwill. As of September 26, 2026, the fair value determination of the intangible assets for the above business combinations has not been finalized, with the exception of RWP West and National Supply, which were finalized during the second and third quarter of 2026, respectively. Therefore, changes in facts and circumstances may result in adjustments to the initial fair value estimates during the measurement period, which may not exceed one year from the acquisition date.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business combinations mentioned above contributed approximately $78.2 million to net sales and a $7.8 million operating loss during the first nine months of 2026. They are not significant to our operating results and thus proforma results for 2026 and 2025 are not presented.</w:t>
      </w:r>
    </w:p>
    <w:p>
      <w:pPr>
        <w:spacing w:after="0" w:line="172" w:lineRule="exact"/>
        <w:rPr>
          <w:sz w:val="20"/>
          <w:szCs w:val="20"/>
          <w:color w:val="auto"/>
        </w:rPr>
      </w:pPr>
    </w:p>
    <w:p>
      <w:pPr>
        <w:ind w:left="500" w:hanging="495"/>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ASC 280, Segment Reporting (“ASC 280”), defines operating segments as components of an enterprise about which separate financial information is available that is evaluated regularly by the chief operating decision maker (“CODM”) in deciding how to allocate resources and in assessing performance. Our CODM is the chief executive officer, as he has the ultimate decision-making authority related to assessing the Company’s performance and allocating resources. The CODM assesses performance for our segments and decides how to allocate resources based on net sales, cost of goods sold, earnings from operations and net earnings. These metrics are also reported on the Consolidated Statement of Earnings and Comprehensive Income. The measure of segment assets is reported on the Consolidated Balance Sheet as total consolidated assets. The CODM uses earnings from operations and net earnings to evaluate income generated from segment assets (return on investment) in determining wage increase allocations and bonus pools, and in deciding whether to reinvest profits into the business, such as for acquisitions, or to pay dividends.</w:t>
      </w:r>
    </w:p>
    <w:p>
      <w:pPr>
        <w:sectPr>
          <w:pgSz w:w="11900" w:h="16838" w:orient="portrait"/>
          <w:cols w:equalWidth="0" w:num="1">
            <w:col w:w="9120"/>
          </w:cols>
          <w:pgMar w:left="1380" w:top="540"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2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We operate manufacturing, treating and distribution facilities internationally, but primarily in the United States. Our business segments consist of Retail, Packaging and Construction, which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that serve multiple segments, results are allocated and accounted for by segment.</w:t>
      </w:r>
    </w:p>
    <w:p>
      <w:pPr>
        <w:spacing w:after="0" w:line="18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exception to this market-centered reporting and management structure is our International segment, which comprises our packaging operations in Mexico, Canada, Spain, India, and Australia and sales and buying offices in other parts of the world, and our Ardellis segment, which represents our wholly owned fully licensed captive insurance company based in Bermuda. Our International and Ardellis segments do not meet the quantitative thresholds for separate reporting and, accordingly, have been aggregated in the “All Other” segment for reporting purposes.</w:t>
      </w:r>
    </w:p>
    <w:p>
      <w:pPr>
        <w:spacing w:after="0" w:line="1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“Corporate” includes purchasing, transportation, corporate ventures, and administrative functions that serve our operating segments. Operating results of Corporate primarily consist of over (under) allocated costs and net sales to external customers initiated by UFP Purchasing, which manages supplier relationships and purchases lumber and other materials, UFP Transportation, which owns, leases, and operates transportation equipment, and UFP Real Estate, which owns and leases real estate. Intercompany lease and service charges are assessed to our operating segments for the use of these assets and services at fair market value rates. Total assets of the Corporate segment include unallocated cash and cash equivalents, certain prepaid assets, and certain property, equipment and other assets pertaining to the centralized activities of Corporate, UFP Real Estate, Inc., UFP Transportation, Inc., and UFP Purchasing, Inc. Real estate activities are conducted by the real estate company on behalf of the segments, and capital expenditures associated with real estate are allocated to the segments.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tables below are presented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660" w:type="dxa"/>
            <w:vAlign w:val="bottom"/>
            <w:tcBorders>
              <w:top w:val="single" w:sz="8" w:color="auto"/>
              <w:bottom w:val="single" w:sz="8" w:color="auto"/>
            </w:tcBorders>
            <w:gridSpan w:val="1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26, 2026</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Packaging</w:t>
            </w:r>
          </w:p>
        </w:tc>
        <w:tc>
          <w:tcPr>
            <w:tcW w:w="11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Construction</w:t>
            </w:r>
            <w:r>
              <w:rPr>
                <w:rFonts w:ascii="Times New Roman" w:cs="Times New Roman" w:eastAsia="Times New Roman" w:hAnsi="Times New Roman"/>
                <w:sz w:val="14"/>
                <w:szCs w:val="14"/>
                <w:color w:val="auto"/>
              </w:rPr>
              <w:t xml:space="preserve"> ​​​</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634,514</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465,845</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552,423</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78,029</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1,732,836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(198,856)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560,963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406,791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1,487,915</w:t>
            </w:r>
          </w:p>
        </w:tc>
        <w:tc>
          <w:tcPr>
            <w:tcW w:w="0" w:type="dxa"/>
            <w:vAlign w:val="bottom"/>
          </w:tcPr>
          <w:p>
            <w:pPr>
              <w:spacing w:after="0"/>
              <w:rPr>
                <w:sz w:val="1"/>
                <w:szCs w:val="1"/>
                <w:color w:val="auto"/>
              </w:rPr>
            </w:pP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73,551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91,305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244,921</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52,240</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178,091</w:t>
            </w:r>
          </w:p>
        </w:tc>
        <w:tc>
          <w:tcPr>
            <w:tcW w:w="0" w:type="dxa"/>
            <w:vAlign w:val="bottom"/>
          </w:tcPr>
          <w:p>
            <w:pPr>
              <w:spacing w:after="0"/>
              <w:rPr>
                <w:sz w:val="1"/>
                <w:szCs w:val="1"/>
                <w:color w:val="auto"/>
              </w:rPr>
            </w:pP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losses, net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70,156</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other</w:t>
            </w:r>
          </w:p>
        </w:tc>
        <w:tc>
          <w:tcPr>
            <w:tcW w:w="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76,872</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18,239</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58,633</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significant items:</w:t>
            </w: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39,843</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998,437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861,062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1,254,606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4,133,966</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36,139</w:t>
            </w:r>
          </w:p>
        </w:tc>
        <w:tc>
          <w:tcPr>
            <w:tcW w:w="0" w:type="dxa"/>
            <w:vAlign w:val="bottom"/>
          </w:tcPr>
          <w:p>
            <w:pPr>
              <w:spacing w:after="0"/>
              <w:rPr>
                <w:sz w:val="1"/>
                <w:szCs w:val="1"/>
                <w:color w:val="auto"/>
              </w:rPr>
            </w:pPr>
          </w:p>
        </w:tc>
      </w:tr>
      <w:tr>
        <w:trPr>
          <w:trHeight w:val="630"/>
        </w:trPr>
        <w:tc>
          <w:tcPr>
            <w:tcW w:w="2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40" w:right="1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3120" w:type="dxa"/>
            <w:vAlign w:val="bottom"/>
            <w:tcBorders>
              <w:top w:val="single" w:sz="8" w:color="auto"/>
              <w:bottom w:val="single" w:sz="8" w:color="auto"/>
            </w:tcBorders>
            <w:gridSpan w:val="18"/>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Packaging</w:t>
            </w:r>
          </w:p>
        </w:tc>
        <w:tc>
          <w:tcPr>
            <w:tcW w:w="1200" w:type="dxa"/>
            <w:vAlign w:val="bottom"/>
            <w:gridSpan w:val="8"/>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Construction</w:t>
            </w:r>
            <w:r>
              <w:rPr>
                <w:rFonts w:ascii="Times New Roman" w:cs="Times New Roman" w:eastAsia="Times New Roman" w:hAnsi="Times New Roman"/>
                <w:sz w:val="14"/>
                <w:szCs w:val="14"/>
                <w:color w:val="auto"/>
              </w:rPr>
              <w:t xml:space="preserve"> ​​​</w:t>
            </w:r>
          </w:p>
        </w:tc>
        <w:tc>
          <w:tcPr>
            <w:tcW w:w="7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593,985</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394,949</w:t>
            </w: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$ 496,465</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72,482</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$ 1,559,627</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59,118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(189,546)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405,262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1,296,946</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80,222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67,421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91,203</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13,231</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262,681</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58,943</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170,030</w:t>
            </w:r>
          </w:p>
        </w:tc>
        <w:tc>
          <w:tcPr>
            <w:tcW w:w="0" w:type="dxa"/>
            <w:vAlign w:val="bottom"/>
          </w:tcPr>
          <w:p>
            <w:pPr>
              <w:spacing w:after="0"/>
              <w:rPr>
                <w:sz w:val="1"/>
                <w:szCs w:val="1"/>
                <w:color w:val="auto"/>
              </w:rPr>
            </w:pP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losses (gains),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0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27,560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89,471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loss of investee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9"/>
        </w:trPr>
        <w:tc>
          <w:tcPr>
            <w:tcW w:w="2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other</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(2,845)</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99,134</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23,592</w:t>
            </w:r>
          </w:p>
        </w:tc>
        <w:tc>
          <w:tcPr>
            <w:tcW w:w="0" w:type="dxa"/>
            <w:vAlign w:val="bottom"/>
          </w:tcPr>
          <w:p>
            <w:pPr>
              <w:spacing w:after="0"/>
              <w:rPr>
                <w:sz w:val="1"/>
                <w:szCs w:val="1"/>
                <w:color w:val="auto"/>
              </w:rPr>
            </w:pPr>
          </w:p>
        </w:tc>
      </w:tr>
      <w:tr>
        <w:trPr>
          <w:trHeight w:val="209"/>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21,358</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24,682</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75,542</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significant items:</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772,184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338,211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1,513,589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4,135,551</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37,278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75,752</w:t>
            </w:r>
          </w:p>
        </w:tc>
        <w:tc>
          <w:tcPr>
            <w:tcW w:w="0" w:type="dxa"/>
            <w:vAlign w:val="bottom"/>
          </w:tcPr>
          <w:p>
            <w:pPr>
              <w:spacing w:after="0"/>
              <w:rPr>
                <w:sz w:val="1"/>
                <w:szCs w:val="1"/>
                <w:color w:val="auto"/>
              </w:rPr>
            </w:pPr>
          </w:p>
        </w:tc>
      </w:tr>
      <w:tr>
        <w:trPr>
          <w:trHeight w:val="427"/>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9"/>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80" w:type="dxa"/>
            <w:vAlign w:val="bottom"/>
            <w:tcBorders>
              <w:bottom w:val="single" w:sz="8" w:color="auto"/>
            </w:tcBorders>
            <w:gridSpan w:val="19"/>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26, 2026</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3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Packaging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Construction</w:t>
            </w:r>
          </w:p>
        </w:tc>
        <w:tc>
          <w:tcPr>
            <w:tcW w:w="24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$ 1,984,433</w:t>
            </w:r>
          </w:p>
        </w:tc>
        <w:tc>
          <w:tcPr>
            <w:tcW w:w="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$ 1,318,183</w:t>
            </w: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$ 1,544,713</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$ 223,461</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$ 5,077,040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248,262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78,901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182,926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(576,473)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1,715,673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1,138,422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1,285,463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185,352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4,305,995</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268,760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179,761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771,045</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189,080</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28,684</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536,694</w:t>
            </w:r>
          </w:p>
        </w:tc>
        <w:tc>
          <w:tcPr>
            <w:tcW w:w="0" w:type="dxa"/>
            <w:vAlign w:val="bottom"/>
          </w:tcPr>
          <w:p>
            <w:pPr>
              <w:spacing w:after="0"/>
              <w:rPr>
                <w:sz w:val="1"/>
                <w:szCs w:val="1"/>
                <w:color w:val="auto"/>
              </w:rPr>
            </w:pP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losses,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94,985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42,905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237,653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(2,848)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0" w:type="dxa"/>
            <w:vAlign w:val="bottom"/>
          </w:tcPr>
          <w:p>
            <w:pPr>
              <w:spacing w:after="0"/>
              <w:rPr>
                <w:sz w:val="1"/>
                <w:szCs w:val="1"/>
                <w:color w:val="auto"/>
              </w:rPr>
            </w:pPr>
          </w:p>
        </w:tc>
      </w:tr>
      <w:tr>
        <w:trPr>
          <w:trHeight w:val="209"/>
        </w:trPr>
        <w:tc>
          <w:tcPr>
            <w:tcW w:w="2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other</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(541)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(19,025)</w:t>
            </w: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45,754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256,678</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11,369</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17,355</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63,777</w:t>
            </w:r>
          </w:p>
        </w:tc>
        <w:tc>
          <w:tcPr>
            <w:tcW w:w="0" w:type="dxa"/>
            <w:vAlign w:val="bottom"/>
          </w:tcPr>
          <w:p>
            <w:pPr>
              <w:spacing w:after="0"/>
              <w:rPr>
                <w:sz w:val="1"/>
                <w:szCs w:val="1"/>
                <w:color w:val="auto"/>
              </w:rPr>
            </w:pPr>
          </w:p>
        </w:tc>
      </w:tr>
      <w:tr>
        <w:trPr>
          <w:trHeight w:val="209"/>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71,791</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34,385</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52,495</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21,372</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192,901</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significant items:</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16,506</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27,962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27,815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113,209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861,062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694,865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324,996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1,254,606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4,133,966</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54,442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30,356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122,715</w:t>
            </w:r>
          </w:p>
        </w:tc>
        <w:tc>
          <w:tcPr>
            <w:tcW w:w="0" w:type="dxa"/>
            <w:vAlign w:val="bottom"/>
          </w:tcPr>
          <w:p>
            <w:pPr>
              <w:spacing w:after="0"/>
              <w:rPr>
                <w:sz w:val="1"/>
                <w:szCs w:val="1"/>
                <w:color w:val="auto"/>
              </w:rPr>
            </w:pPr>
          </w:p>
        </w:tc>
      </w:tr>
      <w:tr>
        <w:trPr>
          <w:trHeight w:val="630"/>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40" w:right="1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920" w:type="dxa"/>
            <w:vAlign w:val="bottom"/>
            <w:tcBorders>
              <w:top w:val="single" w:sz="8" w:color="auto"/>
              <w:bottom w:val="single" w:sz="8" w:color="auto"/>
            </w:tcBorders>
            <w:gridSpan w:val="14"/>
          </w:tcPr>
          <w:p>
            <w:pPr>
              <w:ind w:left="660"/>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720" w:type="dxa"/>
            <w:vAlign w:val="bottom"/>
          </w:tcPr>
          <w:p>
            <w:pPr>
              <w:spacing w:after="0"/>
              <w:rPr>
                <w:sz w:val="15"/>
                <w:szCs w:val="15"/>
                <w:color w:val="auto"/>
              </w:rPr>
            </w:pP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Construction</w:t>
            </w: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1,989,592</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1,233,626</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1,563,995</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197,806</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4,990,520</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199,760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273,361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(621,997)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1,714,335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1,026,049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160,706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4,146,909</w:t>
            </w:r>
          </w:p>
        </w:tc>
        <w:tc>
          <w:tcPr>
            <w:tcW w:w="0" w:type="dxa"/>
            <w:vAlign w:val="bottom"/>
          </w:tcPr>
          <w:p>
            <w:pPr>
              <w:spacing w:after="0"/>
              <w:rPr>
                <w:sz w:val="1"/>
                <w:szCs w:val="1"/>
                <w:color w:val="auto"/>
              </w:rPr>
            </w:pPr>
          </w:p>
        </w:tc>
      </w:tr>
      <w:tr>
        <w:trPr>
          <w:trHeight w:val="20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207,577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843,611</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163,029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136,748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185,454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531,279</w:t>
            </w:r>
          </w:p>
        </w:tc>
        <w:tc>
          <w:tcPr>
            <w:tcW w:w="0" w:type="dxa"/>
            <w:vAlign w:val="bottom"/>
          </w:tcPr>
          <w:p>
            <w:pPr>
              <w:spacing w:after="0"/>
              <w:rPr>
                <w:sz w:val="1"/>
                <w:szCs w:val="1"/>
                <w:color w:val="auto"/>
              </w:rPr>
            </w:pPr>
          </w:p>
        </w:tc>
      </w:tr>
      <w:tr>
        <w:trPr>
          <w:trHeight w:val="198"/>
        </w:trPr>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losses (gains),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0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75,542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304,814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(34,016)</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09"/>
        </w:trPr>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other</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(19,602)</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(26,946)</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331,760</w:t>
            </w:r>
          </w:p>
        </w:tc>
        <w:tc>
          <w:tcPr>
            <w:tcW w:w="0" w:type="dxa"/>
            <w:vAlign w:val="bottom"/>
          </w:tcPr>
          <w:p>
            <w:pPr>
              <w:spacing w:after="0"/>
              <w:rPr>
                <w:sz w:val="1"/>
                <w:szCs w:val="1"/>
                <w:color w:val="auto"/>
              </w:rPr>
            </w:pPr>
          </w:p>
        </w:tc>
      </w:tr>
      <w:tr>
        <w:trPr>
          <w:trHeight w:val="216"/>
        </w:trPr>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23,010</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17,482</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75,924</w:t>
            </w:r>
          </w:p>
        </w:tc>
        <w:tc>
          <w:tcPr>
            <w:tcW w:w="0" w:type="dxa"/>
            <w:vAlign w:val="bottom"/>
          </w:tcPr>
          <w:p>
            <w:pPr>
              <w:spacing w:after="0"/>
              <w:rPr>
                <w:sz w:val="1"/>
                <w:szCs w:val="1"/>
                <w:color w:val="auto"/>
              </w:rPr>
            </w:pPr>
          </w:p>
        </w:tc>
      </w:tr>
      <w:tr>
        <w:trPr>
          <w:trHeight w:val="209"/>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77,532</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58,908</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74,189</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35,798</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255,836</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significant items:</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17,666</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101,574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338,211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1,513,589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4,135,551</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205,504</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goodwill by segment as of September 26, 2026, and December 27, 2025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380" w:type="dxa"/>
            <w:vAlign w:val="bottom"/>
          </w:tcPr>
          <w:p>
            <w:pPr>
              <w:spacing w:after="0"/>
              <w:rPr>
                <w:sz w:val="15"/>
                <w:szCs w:val="15"/>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Retail</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Packaging</w:t>
            </w:r>
          </w:p>
        </w:tc>
        <w:tc>
          <w:tcPr>
            <w:tcW w:w="18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Construction</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All Other</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Corporate</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Total</w:t>
            </w:r>
          </w:p>
        </w:tc>
      </w:tr>
      <w:tr>
        <w:trPr>
          <w:trHeight w:val="216"/>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27, 2025</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$ 84,174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$ 148,104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$ 23,246</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$ 343,921</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2026 Acquisitions</w:t>
            </w:r>
          </w:p>
        </w:tc>
        <w:tc>
          <w:tcPr>
            <w:tcW w:w="5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2,567</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Purchase Accounting Adjustments</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Net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26, 2026</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$ 84,180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$ 150,671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$ 23,293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$ 345,632</w:t>
            </w:r>
          </w:p>
        </w:tc>
      </w:tr>
      <w:tr>
        <w:trPr>
          <w:trHeight w:val="20"/>
        </w:trPr>
        <w:tc>
          <w:tcPr>
            <w:tcW w:w="3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845"/>
        </w:trPr>
        <w:tc>
          <w:tcPr>
            <w:tcW w:w="3380" w:type="dxa"/>
            <w:vAlign w:val="bottom"/>
          </w:tcPr>
          <w:p>
            <w:pPr>
              <w:spacing w:after="0"/>
              <w:rPr>
                <w:sz w:val="24"/>
                <w:szCs w:val="24"/>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47"/>
        </w:trPr>
        <w:tc>
          <w:tcPr>
            <w:tcW w:w="3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40" w:right="1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21"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disaggregated net sales by business unit for each segment for the three and nine months ended September 26, 2026, and September 27, 2025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492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80"/>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3"/>
        </w:trPr>
        <w:tc>
          <w:tcPr>
            <w:tcW w:w="4920" w:type="dxa"/>
            <w:vAlign w:val="bottom"/>
            <w:tcBorders>
              <w:top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ProWood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486,682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1,609,092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1,658,058</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Deckorators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244,769</w:t>
            </w:r>
          </w:p>
        </w:tc>
      </w:tr>
      <w:tr>
        <w:trPr>
          <w:trHeight w:val="223"/>
        </w:trPr>
        <w:tc>
          <w:tcPr>
            <w:tcW w:w="4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UFP Edge</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86,765</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Retail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1,984,433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1,989,592</w:t>
            </w:r>
          </w:p>
        </w:tc>
      </w:tr>
      <w:tr>
        <w:trPr>
          <w:trHeight w:val="216"/>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Structural Packaging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818,159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769,151</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PalletOne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402,706</w:t>
            </w:r>
          </w:p>
        </w:tc>
      </w:tr>
      <w:tr>
        <w:trPr>
          <w:trHeight w:val="223"/>
        </w:trPr>
        <w:tc>
          <w:tcPr>
            <w:tcW w:w="4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Protective Packaging</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61,769</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Packaging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1,318,183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1,233,626</w:t>
            </w:r>
          </w:p>
        </w:tc>
      </w:tr>
      <w:tr>
        <w:trPr>
          <w:trHeight w:val="216"/>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Factory Built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648,484</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Site-Built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561,099</w:t>
            </w: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212,462</w:t>
            </w:r>
          </w:p>
        </w:tc>
      </w:tr>
      <w:tr>
        <w:trPr>
          <w:trHeight w:val="236"/>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Concrete Forming</w:t>
            </w: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52,731</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154,204</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141,950</w:t>
            </w:r>
          </w:p>
        </w:tc>
      </w:tr>
      <w:tr>
        <w:trPr>
          <w:trHeight w:val="203"/>
        </w:trPr>
        <w:tc>
          <w:tcPr>
            <w:tcW w:w="49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Construction</w:t>
            </w: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552,423</w:t>
            </w:r>
          </w:p>
        </w:tc>
        <w:tc>
          <w:tcPr>
            <w:tcW w:w="14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496,465</w:t>
            </w:r>
          </w:p>
        </w:tc>
        <w:tc>
          <w:tcPr>
            <w:tcW w:w="14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1,544,713</w:t>
            </w:r>
          </w:p>
        </w:tc>
        <w:tc>
          <w:tcPr>
            <w:tcW w:w="14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1,563,995</w:t>
            </w:r>
          </w:p>
        </w:tc>
      </w:tr>
      <w:tr>
        <w:trPr>
          <w:trHeight w:val="216"/>
        </w:trPr>
        <w:tc>
          <w:tcPr>
            <w:tcW w:w="4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197,806</w:t>
            </w:r>
          </w:p>
        </w:tc>
      </w:tr>
      <w:tr>
        <w:trPr>
          <w:trHeight w:val="216"/>
        </w:trPr>
        <w:tc>
          <w:tcPr>
            <w:tcW w:w="4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w:t>
            </w: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r>
      <w:tr>
        <w:trPr>
          <w:trHeight w:val="203"/>
        </w:trPr>
        <w:tc>
          <w:tcPr>
            <w:tcW w:w="49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Net Sales</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1,732,836</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1,559,627</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5,077,040</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4,990,520</w:t>
            </w: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00" w:hanging="495"/>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23.7% in the third quarter of 2026 compared to 23.8% in the same period of 2025 and was 24.8% in the first nine months of 2026 compared to 22.9% for the same period in 2025. The decrease in our effective tax rate for the third quarter was primarily due to an increase in the benefit we recognized for tax credits, partially offset by a decrease in our tax deduction from stock-based compensation accounted for as a permanent difference. The increase in our effective tax rate for the first nine months of 2026 was primarily due to a decrease in our tax deduction from stock-based compensation accounted for as a permanent difference.</w:t>
      </w:r>
    </w:p>
    <w:p>
      <w:pPr>
        <w:spacing w:after="0" w:line="189" w:lineRule="exact"/>
        <w:rPr>
          <w:sz w:val="20"/>
          <w:szCs w:val="20"/>
          <w:color w:val="auto"/>
        </w:rPr>
      </w:pPr>
    </w:p>
    <w:p>
      <w:pPr>
        <w:jc w:val="both"/>
        <w:ind w:firstLine="693"/>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United States and in various state, local, and foreign jurisdictions. The federal and a majority of state and foreign jurisdictions are no longer subject to income tax examinations for years before 2022. A number of routine state and local examinations are currently ongoing, as well as an IRS audit of our federal income tax return for the year ending December 28, 2024.</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ind w:left="440" w:hanging="435"/>
        <w:spacing w:after="0"/>
        <w:tabs>
          <w:tab w:leader="none" w:pos="4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460" w:firstLine="492"/>
        <w:spacing w:after="0" w:line="282" w:lineRule="auto"/>
        <w:rPr>
          <w:sz w:val="20"/>
          <w:szCs w:val="20"/>
          <w:color w:val="auto"/>
        </w:rPr>
      </w:pPr>
      <w:r>
        <w:rPr>
          <w:rFonts w:ascii="Times New Roman" w:cs="Times New Roman" w:eastAsia="Times New Roman" w:hAnsi="Times New Roman"/>
          <w:sz w:val="18"/>
          <w:szCs w:val="18"/>
          <w:color w:val="auto"/>
        </w:rPr>
        <w:t>Below is a summary of common stock issuances for the first nine months of 2026 and 2025 (in thousands, except average share price):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600" w:type="dxa"/>
            <w:vAlign w:val="bottom"/>
            <w:gridSpan w:val="2"/>
          </w:tcPr>
          <w:p>
            <w:pPr>
              <w:ind w:left="54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5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18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Share Issuance Activity</w:t>
            </w:r>
          </w:p>
        </w:tc>
        <w:tc>
          <w:tcPr>
            <w:tcW w:w="55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20" w:type="dxa"/>
            <w:vAlign w:val="bottom"/>
            <w:tcBorders>
              <w:bottom w:val="single" w:sz="8" w:color="auto"/>
            </w:tcBorders>
            <w:gridSpan w:val="2"/>
            <w:vMerge w:val="continue"/>
          </w:tcPr>
          <w:p>
            <w:pPr>
              <w:spacing w:after="0"/>
              <w:rPr>
                <w:sz w:val="11"/>
                <w:szCs w:val="11"/>
                <w:color w:val="auto"/>
              </w:rPr>
            </w:pPr>
          </w:p>
        </w:tc>
        <w:tc>
          <w:tcPr>
            <w:tcW w:w="5600" w:type="dxa"/>
            <w:vAlign w:val="bottom"/>
            <w:gridSpan w:val="2"/>
          </w:tcPr>
          <w:p>
            <w:pPr>
              <w:spacing w:after="0"/>
              <w:rPr>
                <w:sz w:val="11"/>
                <w:szCs w:val="11"/>
                <w:color w:val="auto"/>
              </w:rPr>
            </w:pPr>
          </w:p>
        </w:tc>
        <w:tc>
          <w:tcPr>
            <w:tcW w:w="7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7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Shares issued under the director compensation plan</w:t>
            </w:r>
          </w:p>
        </w:tc>
        <w:tc>
          <w:tcPr>
            <w:tcW w:w="74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7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Shares issued under the executive stock match program</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Forfeitures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center"/>
              <w:ind w:right="15"/>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issued under the deferred compensation plan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103.45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2026, we repurchased 2,250,939 shares of our common stock at an average share price of $84.05.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5600" w:type="dxa"/>
            <w:vAlign w:val="bottom"/>
            <w:gridSpan w:val="2"/>
          </w:tcPr>
          <w:p>
            <w:pPr>
              <w:ind w:left="54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0" w:type="dxa"/>
            <w:vAlign w:val="bottom"/>
          </w:tcPr>
          <w:p>
            <w:pPr>
              <w:spacing w:after="0"/>
              <w:rPr>
                <w:sz w:val="1"/>
                <w:szCs w:val="1"/>
                <w:color w:val="auto"/>
              </w:rPr>
            </w:pPr>
          </w:p>
        </w:tc>
      </w:tr>
      <w:tr>
        <w:trPr>
          <w:trHeight w:val="117"/>
        </w:trPr>
        <w:tc>
          <w:tcPr>
            <w:tcW w:w="18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18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182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Share Issuance Activity</w:t>
            </w:r>
          </w:p>
        </w:tc>
        <w:tc>
          <w:tcPr>
            <w:tcW w:w="55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20" w:type="dxa"/>
            <w:vAlign w:val="bottom"/>
            <w:tcBorders>
              <w:bottom w:val="single" w:sz="8" w:color="auto"/>
            </w:tcBorders>
            <w:vMerge w:val="continue"/>
          </w:tcPr>
          <w:p>
            <w:pPr>
              <w:spacing w:after="0"/>
              <w:rPr>
                <w:sz w:val="11"/>
                <w:szCs w:val="11"/>
                <w:color w:val="auto"/>
              </w:rPr>
            </w:pPr>
          </w:p>
        </w:tc>
        <w:tc>
          <w:tcPr>
            <w:tcW w:w="5600" w:type="dxa"/>
            <w:vAlign w:val="bottom"/>
            <w:gridSpan w:val="2"/>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1820" w:type="dxa"/>
            <w:vAlign w:val="bottom"/>
            <w:tcBorders>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99.41</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106.38</w:t>
            </w:r>
          </w:p>
        </w:tc>
        <w:tc>
          <w:tcPr>
            <w:tcW w:w="0" w:type="dxa"/>
            <w:vAlign w:val="bottom"/>
          </w:tcPr>
          <w:p>
            <w:pPr>
              <w:spacing w:after="0"/>
              <w:rPr>
                <w:sz w:val="1"/>
                <w:szCs w:val="1"/>
                <w:color w:val="auto"/>
              </w:rPr>
            </w:pPr>
          </w:p>
        </w:tc>
      </w:tr>
      <w:tr>
        <w:trPr>
          <w:trHeight w:val="216"/>
        </w:trPr>
        <w:tc>
          <w:tcPr>
            <w:tcW w:w="7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compensation plan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3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56.22</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179</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106.65</w:t>
            </w:r>
          </w:p>
        </w:tc>
        <w:tc>
          <w:tcPr>
            <w:tcW w:w="0" w:type="dxa"/>
            <w:vAlign w:val="bottom"/>
          </w:tcPr>
          <w:p>
            <w:pPr>
              <w:spacing w:after="0"/>
              <w:rPr>
                <w:sz w:val="1"/>
                <w:szCs w:val="1"/>
                <w:color w:val="auto"/>
              </w:rPr>
            </w:pPr>
          </w:p>
        </w:tc>
      </w:tr>
      <w:tr>
        <w:trPr>
          <w:trHeight w:val="216"/>
        </w:trPr>
        <w:tc>
          <w:tcPr>
            <w:tcW w:w="7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match program</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3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109.84</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100.21</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issued under the deferred compensation plan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107.29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100" w:firstLine="492"/>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2025, we repurchased 2,819,901 shares of our common stock at an average share price of $103.04.</w:t>
      </w:r>
    </w:p>
    <w:p>
      <w:pPr>
        <w:spacing w:after="0" w:line="158" w:lineRule="exact"/>
        <w:rPr>
          <w:sz w:val="20"/>
          <w:szCs w:val="20"/>
          <w:color w:val="auto"/>
        </w:rPr>
      </w:pPr>
    </w:p>
    <w:p>
      <w:pPr>
        <w:ind w:left="460" w:hanging="455"/>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cost of inventories includes raw materials, direct labor, and manufacturing overhead and is determined using the weighted average cost method. Raw materials consist primarily of unfinished wood products and other materials expected to be manufactured or treated prior to sale, while finished goods represent various manufactured and treated wood products ready for sale.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write down the value of inventory, the impact of which is reflected in cost of goods sold in the Condensed Consolidated Statements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ind w:left="500" w:hanging="495"/>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Subsequent to our reporting date, we repurchased 586,370 shares for $45.9 million, resulting in an average share price of $78.34.</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October 23, 2026, we entered into an amendment to our $750 million revolving credit facility with a syndicate of U.S. banks to extend its maturity for an additional five-year term, expiring October 23, 2031.</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October 26, 2026, UFP Packaging, LLC, a wholly owned subsidiary, entered into an agreement to acquire the net operating assets of Apache Products, Inc. for $27 million. Apache Products, based in Silsbee, TX, is a wooden pallet manufacturer. The transaction is expected to close on or around November 16, 2026, subject to customary closing conditions.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80"/>
          </w:cols>
          <w:pgMar w:left="1380" w:top="540" w:right="1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UFP Industries, Inc. is a holding company with subsidiaries in North America, Europe, Asia, and Australia that design, manufacture, and supply products made from wood, wood and non-wood composites, and other materials to three segments: retail, packaging, and construction. We are headquartered in Grand Rapids, Michigan. Our business segments are functionally interdependent and are supported by common corporate services, such as accounting and finance, information technology, human resources, marketing, purchasing, transportation, legal and compliance, among others. We regularly invest in automation and implement best practices to improve the efficiency of our manufacturing facilities across each of the segments. The results and improvements from these investments are shared among the segments. This exchange of ideas drives faster innovation for new products, processes, and product improvements.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Importantly, our structure allows us to evaluate market conditions and opportunities, while effectively allocating capital and resources to the appropriate segments and business units. We believe that the diversification and manner in which we operate our business segments provides an inherent hedge against the inevitable business cycles that our markets experience and over which we have little control. Accordingly, our goal is to provide stable earnings and cash flows to our shareholders. Our diversification and operating practices also mitigate the impact of volatile lumber market conditions experienced by traditional lumber companies.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of 1934,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or unusual weather conditions; adverse economic conditions in the markets we serve; changes in tariffs, import/export regulations, and other trade policies, including the timing and amount of tariff refunds; concentration of sales to customers; the success of vertical integration strategies; excess capacity or supply chain challenges; inbound and outbound transportation costs and our ability to pass those costs through to customers; alternatives to replace treated wood products; government regulations, particularly involving environmental and safety regulations; our ability to make successful business acquisitions; cybersecurity breaches; artificial intelligence; and potential pandemics. Certain of these risk factors as well as other risk factors and additional information are included in our reports on Form 10-K and 10-Q on file with the Securities and Exchange Commission.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for the third quarter of 2026 include the following highlights:</w:t>
      </w:r>
    </w:p>
    <w:p>
      <w:pPr>
        <w:spacing w:after="0" w:line="225" w:lineRule="exact"/>
        <w:rPr>
          <w:sz w:val="20"/>
          <w:szCs w:val="20"/>
          <w:color w:val="auto"/>
        </w:rPr>
      </w:pPr>
    </w:p>
    <w:p>
      <w:pPr>
        <w:jc w:val="both"/>
        <w:ind w:left="840" w:hanging="322"/>
        <w:spacing w:after="0" w:line="256"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increased 11% compared to the third quarter of 2025, consisting of a 4% increase in organic unit sales (excluding growth from acquisitions within the last 12 months), a 5% increase in selling prices, and a 2% increase attributable to acquisitions. Organic unit sales increased 9% in our packaging segment, 4% in our construction segment, and remained flat in our retail segment. Acquired businesses contributed 6% and 1% unit increases in our packaging and retail segments, respectively. Overall selling prices increased in our ProWood and Factory Built business units, driven by the pass-through of higher commodity lumber costs to our customers.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21" w:lineRule="exact"/>
        <w:rPr>
          <w:sz w:val="20"/>
          <w:szCs w:val="20"/>
          <w:color w:val="auto"/>
        </w:rPr>
      </w:pPr>
    </w:p>
    <w:p>
      <w:pPr>
        <w:jc w:val="both"/>
        <w:ind w:left="840" w:hanging="322"/>
        <w:spacing w:after="0" w:line="256"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profit decreased by $18 million, or 7%, compared to the same period of the prior year. By segment, gross profit decreased by $8 million in Packaging, $7 million in Retail, and $3 million in Corporate, while Construction and All Other remained flat. The overall decrease in our gross profit is primarily due to higher transportation costs across most business units, totaling $19 million, net of fuel surcharges, and a decrease of $6 million from acquired businesses. These impacts were partially offset by improvements in our Commercial, Deckorators, Edge and Factory Built business units.</w:t>
      </w:r>
    </w:p>
    <w:p>
      <w:pPr>
        <w:spacing w:after="0" w:line="187" w:lineRule="exact"/>
        <w:rPr>
          <w:rFonts w:ascii="Times New Roman" w:cs="Times New Roman" w:eastAsia="Times New Roman" w:hAnsi="Times New Roman"/>
          <w:sz w:val="18"/>
          <w:szCs w:val="18"/>
          <w:color w:val="auto"/>
        </w:rPr>
      </w:pPr>
    </w:p>
    <w:p>
      <w:pPr>
        <w:jc w:val="both"/>
        <w:ind w:left="840" w:hanging="322"/>
        <w:spacing w:after="0" w:line="258"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profits decreased $19 million, or 22%, compared to the third quarter of 2025. The overall decrease is a result of the decrease in gross profit mentioned above and an $8 million increase in selling, general, and administrative (“SG&amp;A”) expenses, partially offset by a $7 million increase in net gains on the disposition and impairment of assets and foreign currency gains. The increase in SG&amp;A is primarily due to acquired businesses and wages and benefits.</w:t>
      </w:r>
    </w:p>
    <w:p>
      <w:pPr>
        <w:spacing w:after="0" w:line="183" w:lineRule="exact"/>
        <w:rPr>
          <w:rFonts w:ascii="Times New Roman" w:cs="Times New Roman" w:eastAsia="Times New Roman" w:hAnsi="Times New Roman"/>
          <w:sz w:val="18"/>
          <w:szCs w:val="18"/>
          <w:color w:val="auto"/>
        </w:rPr>
      </w:pPr>
    </w:p>
    <w:p>
      <w:pPr>
        <w:jc w:val="both"/>
        <w:ind w:left="840" w:hanging="322"/>
        <w:spacing w:after="0" w:line="256"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from operations were $235 million in the first nine months of 2026 compared to $399 million during the first nine months of 2025. The $165 million decline resulted from a decrease in net earnings and non-cash expenses of $69 million and an increase in our investment in net working capital since year end that was $95 million higher in the first nine months of 2026 than it was in the first nine months of 2025. We anticipate that this increase in net working capital will convert to cash in the fourth quarter as we move past the typical seasonal peak in our net working capital.</w:t>
      </w:r>
    </w:p>
    <w:p>
      <w:pPr>
        <w:spacing w:after="0" w:line="187" w:lineRule="exact"/>
        <w:rPr>
          <w:rFonts w:ascii="Times New Roman" w:cs="Times New Roman" w:eastAsia="Times New Roman" w:hAnsi="Times New Roman"/>
          <w:sz w:val="18"/>
          <w:szCs w:val="18"/>
          <w:color w:val="auto"/>
        </w:rPr>
      </w:pPr>
    </w:p>
    <w:p>
      <w:pPr>
        <w:jc w:val="both"/>
        <w:ind w:left="840" w:hanging="322"/>
        <w:spacing w:after="0" w:line="258"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cash equivalents at the end of September 2026 was $677 million compared to $1.0 billion at the end of September 2025. The decline in our cash is primarily due to business acquisitions, share repurchases, and investment in net working capital. Our unused borrowing capacity under our revolving credit facility and a shelf agreement with certain lenders along with our cash resulted in total liquidity of approximately $2 billion at the end of the third quarter of 2026.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HISTORICAL LUMBER PRICES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experience significant fluctuations in the cost of commodity lumber products from primary producers (“Lumber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Random Lengths framing lumber composite price: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Random Lengths Composite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Average $/MBF</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800" w:type="dxa"/>
            <w:vAlign w:val="bottom"/>
          </w:tcPr>
          <w:p>
            <w:pPr>
              <w:jc w:val="right"/>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3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August</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average</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4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Year-to-date average</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4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percentage change</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23.7 %</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7.7 %</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780" w:type="dxa"/>
            <w:vAlign w:val="bottom"/>
          </w:tcPr>
          <w:p>
            <w:pPr>
              <w:jc w:val="right"/>
              <w:ind w:right="2435"/>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40" w:right="1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a Southern Yellow Pine (“SYP”) composite price, which we prepare and use, is presented below. Our purchases of this species comprise approximately 75% of our total lumber purchases.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Random Lengths SYP</w:t>
            </w:r>
          </w:p>
        </w:tc>
      </w:tr>
      <w:tr>
        <w:trPr>
          <w:trHeight w:val="180"/>
        </w:trPr>
        <w:tc>
          <w:tcPr>
            <w:tcW w:w="7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Average $/MBF</w:t>
            </w:r>
          </w:p>
        </w:tc>
      </w:tr>
      <w:tr>
        <w:trPr>
          <w:trHeight w:val="155"/>
        </w:trPr>
        <w:tc>
          <w:tcPr>
            <w:tcW w:w="7160" w:type="dxa"/>
            <w:vAlign w:val="bottom"/>
          </w:tcPr>
          <w:p>
            <w:pPr>
              <w:ind w:left="70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7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7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average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average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7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 percentage change</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a Spruce Pine Fir (“SPF”) composite price, which we prepare and use, is presented below. Our purchases of this species comprise approximately 11% of our total lumber purchases.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Random Lengths SPF</w:t>
            </w:r>
          </w:p>
        </w:tc>
      </w:tr>
      <w:tr>
        <w:trPr>
          <w:trHeight w:val="180"/>
        </w:trPr>
        <w:tc>
          <w:tcPr>
            <w:tcW w:w="7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Average $/MBF</w:t>
            </w:r>
          </w:p>
        </w:tc>
      </w:tr>
      <w:tr>
        <w:trPr>
          <w:trHeight w:val="156"/>
        </w:trPr>
        <w:tc>
          <w:tcPr>
            <w:tcW w:w="7160" w:type="dxa"/>
            <w:vAlign w:val="bottom"/>
          </w:tcPr>
          <w:p>
            <w:pPr>
              <w:ind w:left="70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7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7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average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average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7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 percentage change</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Lumber prices increased during the third quarter of 2026 due to mill curtailments and higher duties on Canadian lumber, partially offset by weak overall demand resulting from lower consumer sentiment and greater economic uncertainty.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change in lumber prices impacts profitability of products sold with fixed and variable prices, as discussed below.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THE LUMBER MARKET ON OUR OPERATING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price our products to pass lumber costs through to our customers so that our profitability is based on the value-added manufacturing, distribution, engineering, and other services we provide. As a result, our dollar sales levels (and working capital requirements) are impacted by the lumber costs of our products. Lumber costs were 43.8% and 41.4% of our total net sales in the first nine months of 2026 and 2025,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Additionally, as explained below, product categories can be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general description of the primary ways in which our products are priced.</w:t>
      </w:r>
    </w:p>
    <w:p>
      <w:pPr>
        <w:spacing w:after="0" w:line="225" w:lineRule="exact"/>
        <w:rPr>
          <w:sz w:val="20"/>
          <w:szCs w:val="20"/>
          <w:color w:val="auto"/>
        </w:rPr>
      </w:pPr>
    </w:p>
    <w:p>
      <w:pPr>
        <w:jc w:val="both"/>
        <w:ind w:left="840" w:hanging="322"/>
        <w:spacing w:after="0" w:line="256"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w:t>
      </w:r>
      <w:r>
        <w:rPr>
          <w:rFonts w:ascii="Times New Roman" w:cs="Times New Roman" w:eastAsia="Times New Roman" w:hAnsi="Times New Roman"/>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w:t>
      </w:r>
    </w:p>
    <w:p>
      <w:pPr>
        <w:spacing w:after="0" w:line="187" w:lineRule="exact"/>
        <w:rPr>
          <w:rFonts w:ascii="Times New Roman" w:cs="Times New Roman" w:eastAsia="Times New Roman" w:hAnsi="Times New Roman"/>
          <w:sz w:val="18"/>
          <w:szCs w:val="18"/>
          <w:color w:val="auto"/>
        </w:rPr>
      </w:pPr>
    </w:p>
    <w:p>
      <w:pPr>
        <w:jc w:val="both"/>
        <w:ind w:left="840" w:hanging="322"/>
        <w:spacing w:after="0" w:line="255"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selling prices indexed to the reported Lumber Market with a fixed dollar “adder” to cover conversion costs and profit.</w:t>
      </w:r>
      <w:r>
        <w:rPr>
          <w:rFonts w:ascii="Times New Roman" w:cs="Times New Roman" w:eastAsia="Times New Roman" w:hAnsi="Times New Roman"/>
          <w:sz w:val="18"/>
          <w:szCs w:val="18"/>
          <w:color w:val="auto"/>
        </w:rPr>
        <w:t xml:space="preserve"> These products primarily include treated lumber, panel goods, other commodity-type items, and trusses sold to the manufactured housing industry. For these products, we estimate customers’ needs and carry appropriate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in our retail segment.</w:t>
      </w:r>
    </w:p>
    <w:p>
      <w:pPr>
        <w:spacing w:after="0" w:line="189"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For each of the product pricing categories above, our margins are exposed to changes in the trend of lumber prices. As a result of the balance in our net sales to each of our end markets, we believe our gross profit is more stable compared to our competitors who are less diversified.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greatest risk associated with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lumber prices is on the following products:</w:t>
      </w:r>
    </w:p>
    <w:p>
      <w:pPr>
        <w:spacing w:after="0" w:line="225" w:lineRule="exact"/>
        <w:rPr>
          <w:sz w:val="20"/>
          <w:szCs w:val="20"/>
          <w:color w:val="auto"/>
        </w:rPr>
      </w:pPr>
    </w:p>
    <w:p>
      <w:pPr>
        <w:jc w:val="both"/>
        <w:ind w:left="840" w:hanging="322"/>
        <w:spacing w:after="0" w:line="254"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significant inventory levels with low turnover rates, whose selling prices are indexed to the Lumber Market.</w:t>
      </w:r>
      <w:r>
        <w:rPr>
          <w:rFonts w:ascii="Times New Roman" w:cs="Times New Roman" w:eastAsia="Times New Roman" w:hAnsi="Times New Roman"/>
          <w:sz w:val="18"/>
          <w:szCs w:val="18"/>
          <w:color w:val="auto"/>
        </w:rPr>
        <w:t xml:space="preserve"> In other words, the longer the period of time these products remain in inventory, the greater the exposure to changes in the price of lumber. This includes treated lumber, which comprised approximately 21% of our total net sales in the first nine months of 2026. This exposure is less significant with remanufactured lumber, panel goods, other commodity-type items, and trusses sold to the manufactured housing market due to the higher rate of inventory turnover. We attempt to mitigate the risk associated with treated lumber through managed inventory programs with our vendors. We estimate that 17% of our total purchases for the first nine months of 2026 were transacted under these programs. (</w:t>
      </w:r>
      <w:r>
        <w:rPr>
          <w:rFonts w:ascii="Times New Roman" w:cs="Times New Roman" w:eastAsia="Times New Roman" w:hAnsi="Times New Roman"/>
          <w:sz w:val="18"/>
          <w:szCs w:val="18"/>
          <w:i w:val="1"/>
          <w:iCs w:val="1"/>
          <w:color w:val="auto"/>
        </w:rPr>
        <w:t>Please refer to the “Risk Factors” section of our annual report on form 10-K,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filed with the United States Securities and Exchange Commission.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840" w:right="20" w:hanging="322"/>
        <w:spacing w:after="0" w:line="266"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 sold under long-term supply arrangements, particularly those involving multi-family construction projects.</w:t>
      </w:r>
      <w:r>
        <w:rPr>
          <w:rFonts w:ascii="Times New Roman" w:cs="Times New Roman" w:eastAsia="Times New Roman" w:hAnsi="Times New Roman"/>
          <w:sz w:val="18"/>
          <w:szCs w:val="18"/>
          <w:color w:val="auto"/>
        </w:rPr>
        <w:t xml:space="preserve"> We attempt to mitigate this risk through our purchasing practices and longer vendor commitments.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impact of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Period 2</w:t>
            </w:r>
          </w:p>
        </w:tc>
      </w:tr>
      <w:tr>
        <w:trPr>
          <w:trHeight w:val="216"/>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Lumber cost</w:t>
            </w:r>
          </w:p>
        </w:tc>
        <w:tc>
          <w:tcPr>
            <w:tcW w:w="3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cost</w:t>
            </w:r>
          </w:p>
        </w:tc>
        <w:tc>
          <w:tcPr>
            <w:tcW w:w="30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Product cost</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Adder</w:t>
            </w:r>
          </w:p>
        </w:tc>
        <w:tc>
          <w:tcPr>
            <w:tcW w:w="30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Sell price</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TARIFFS ON OUR OPERATING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trade landscape continues to evolve. Since we do not own any foreign sawmills and have excellent relationships with our mill partners, we believe we are currently in a strong position to adapt quickly to tariffs without material adverse financial impact after a short adjustment period. We will continue to monitor the market and intend to make decisions quickly to minimize disruption. As of September 26, 2026, 84% of our lumber purchases were from domestic suppliers, 10% were imported from Canada, and 6% were imported from other international suppliers.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2026, the U.S. Supreme Court ruled that the International Emergency Economic Powers Act (“IEEPA”), which the U.S. administration relied on to impose certain tariffs, does not authorize the administration to impose tariffs. As a result of this ruling, the U.S. Court of International Trade (“CIT”) issued an order directing the U.S. Customs and Border Protection (“CBP”) agency to begin formalizing a process for refunds. As of September 26, 2026, we have received $22 million in tariff refunds and have an additional $1 million recorded as a receivable related to the expected refund of tariffs previously paid under the IEEPA, including applicable interest. Of this amount, $9 million was recorded as a reduction to cost of goods sold, $1 million was recorded as interest income, $2 million was recorded as a reduction to inventory, and $11 million will be refunded to customers and was recorded as a liability. During the third quarter, we collected $22 million in tariff refunds, paid $3 million in refunds to customers, and recorded the $2 million inventory reduction as a decrease in our cost of goods sold. In September, we recorded an additional $0.3 million in tariff refunds receivable which was recorded as a reduction to cost of goods sold.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HIGHER TRANSPORTATION COSTS ON OUR OPERATING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combination of macroeconomic and geopolitical events and capacity constraints in the flatbed carrier market have contributed to an increase in our input costs across the enterprise, primarily related to fuel and transportation. We estimate that we incurred an additional $22 million and $56 million of these costs for the three and nine months ended September 26, 2026, respectively, which adversely impacted our profitability, reflecting an increase in fuel costs and flatbed carrier rates as a result of many small carriers exiting the market. This has increased our cost in the “spot” market with market rates up 30% for the three and nine months ended September 26, 2026, respectively, excluding fuel. These market conditions have resulted in $6 million and $15 million in additional fuel costs and $16 million and $41 million in higher flatbed carrier costs for the three and nine months ended September 26, 2026, respectively. Our efforts to pass through these higher costs to our customers have been primarily concentrated on fuel through surcharges and increased product pricing, which resulted in an offset totaling approximately $3 million and $7 million for the three and nine months ended September 26, 2026, respectively. We plan to negotiate with our customers to pass through the remaining increase in our transportation costs, however, there are factors beyond our control, including contract terms and market conditions, that may impact our ability to be successful in these efforts. Please see “Risk Factors” below for more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COMBINATIONS AND ASSET PURCHASES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completed three acquisitions in the first nine months of 2026 and completed two in fiscal 2025. The annual historical sales attributable to these acquisitions are approximately $183 million in aggregate. These business combinations are not significant to our quarterly results and thus proforma results for 2026 and 2025 are not presented. See Notes to the Unaudited Interim Condensed Consolidated Financial Statements, Note F, “Business Combinations” for additional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Unaudited Condensed Consolidated Statements of Earnings as a percentage of net sales.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60" w:type="dxa"/>
            <w:vAlign w:val="bottom"/>
          </w:tcPr>
          <w:p>
            <w:pPr>
              <w:spacing w:after="0"/>
              <w:rPr>
                <w:sz w:val="15"/>
                <w:szCs w:val="15"/>
                <w:color w:val="auto"/>
              </w:rPr>
            </w:pPr>
          </w:p>
        </w:tc>
        <w:tc>
          <w:tcPr>
            <w:tcW w:w="22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4560" w:type="dxa"/>
            <w:vAlign w:val="bottom"/>
          </w:tcPr>
          <w:p>
            <w:pPr>
              <w:spacing w:after="0"/>
              <w:rPr>
                <w:sz w:val="10"/>
                <w:szCs w:val="10"/>
                <w:color w:val="auto"/>
              </w:rPr>
            </w:pPr>
          </w:p>
        </w:tc>
        <w:tc>
          <w:tcPr>
            <w:tcW w:w="11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 ​​​</w:t>
            </w:r>
          </w:p>
        </w:tc>
        <w:tc>
          <w:tcPr>
            <w:tcW w:w="1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 ​​​</w:t>
            </w:r>
          </w:p>
        </w:tc>
        <w:tc>
          <w:tcPr>
            <w:tcW w:w="1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 ​​​</w:t>
            </w:r>
          </w:p>
        </w:tc>
        <w:tc>
          <w:tcPr>
            <w:tcW w:w="11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 ​​​</w:t>
            </w:r>
          </w:p>
        </w:tc>
      </w:tr>
      <w:tr>
        <w:trPr>
          <w:trHeight w:val="180"/>
        </w:trPr>
        <w:tc>
          <w:tcPr>
            <w:tcW w:w="45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5"/>
                <w:szCs w:val="15"/>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60" w:type="dxa"/>
            <w:vAlign w:val="bottom"/>
            <w:tcBorders>
              <w:bottom w:val="single" w:sz="8" w:color="CCEEFF"/>
            </w:tcBorders>
          </w:tcPr>
          <w:p>
            <w:pPr>
              <w:spacing w:after="0"/>
              <w:rPr>
                <w:sz w:val="18"/>
                <w:szCs w:val="18"/>
                <w:color w:val="auto"/>
              </w:rPr>
            </w:pP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loss on disposition and impairment of assets</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losses (gains), net</w:t>
            </w:r>
          </w:p>
        </w:tc>
        <w:tc>
          <w:tcPr>
            <w:tcW w:w="11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(0.5)</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CCEEFF"/>
            </w:tcBorders>
          </w:tcPr>
          <w:p>
            <w:pPr>
              <w:spacing w:after="0"/>
              <w:rPr>
                <w:sz w:val="18"/>
                <w:szCs w:val="18"/>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11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impact of the level of lumber prices on the percentages displayed in the table above (see Impact of the Lumber Market on Our Operating Results), we believe it is useful to compare our change in units sold with our change in gross profit, selling, general, and administrative expenses, and operating profits as presented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155"/>
        </w:trPr>
        <w:tc>
          <w:tcPr>
            <w:tcW w:w="45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right"/>
              <w:ind w:right="35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tcPr>
          <w:p>
            <w:pPr>
              <w:jc w:val="right"/>
              <w:ind w:right="396"/>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5580" w:type="dxa"/>
            <w:vAlign w:val="bottom"/>
            <w:gridSpan w:val="3"/>
          </w:tcPr>
          <w:p>
            <w:pPr>
              <w:ind w:left="4500"/>
              <w:spacing w:after="0" w:line="124" w:lineRule="exact"/>
              <w:rPr>
                <w:sz w:val="20"/>
                <w:szCs w:val="20"/>
                <w:color w:val="auto"/>
              </w:rPr>
            </w:pPr>
            <w:r>
              <w:rPr>
                <w:rFonts w:ascii="Times New Roman" w:cs="Times New Roman" w:eastAsia="Times New Roman" w:hAnsi="Times New Roman"/>
                <w:sz w:val="14"/>
                <w:szCs w:val="14"/>
                <w:b w:val="1"/>
                <w:bCs w:val="1"/>
                <w:color w:val="auto"/>
              </w:rPr>
              <w:t>​​​ September 26,</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80"/>
        </w:trPr>
        <w:tc>
          <w:tcPr>
            <w:tcW w:w="4760" w:type="dxa"/>
            <w:vAlign w:val="bottom"/>
            <w:gridSpan w:val="2"/>
          </w:tcPr>
          <w:p>
            <w:pPr>
              <w:ind w:left="450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sold</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2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8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(26.2)</w:t>
            </w:r>
          </w:p>
        </w:tc>
      </w:tr>
    </w:tbl>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selling, general, and administrative (SG&amp;A) costs as a percentage of gross profit. Over time, we believe this ratio provides an enhanced view of our effectiveness in managing these costs given our strategies to enhance our capabilities and improve our value-added product offering and recognizing the higher relative level of SG&amp;A these strategies require. This ratio also mitigates the impact of changing lumber prices. The increase in the ratio of SG&amp;A as a percentage of gross profit from the prior year is primarily due to the impact of higher transportation costs, which have reduced our gross profit.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46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3580" w:type="dxa"/>
            <w:vAlign w:val="bottom"/>
          </w:tcPr>
          <w:p>
            <w:pPr>
              <w:spacing w:after="0"/>
              <w:rPr>
                <w:sz w:val="10"/>
                <w:szCs w:val="10"/>
                <w:color w:val="auto"/>
              </w:rPr>
            </w:pPr>
          </w:p>
        </w:tc>
        <w:tc>
          <w:tcPr>
            <w:tcW w:w="2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tcBorders>
            <w:gridSpan w:val="2"/>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2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tcPr>
          <w:p>
            <w:pPr>
              <w:jc w:val="right"/>
              <w:ind w:right="17"/>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Pr>
          <w:p>
            <w:pPr>
              <w:spacing w:after="0"/>
              <w:rPr>
                <w:sz w:val="10"/>
                <w:szCs w:val="10"/>
                <w:color w:val="auto"/>
              </w:rPr>
            </w:pPr>
          </w:p>
        </w:tc>
        <w:tc>
          <w:tcPr>
            <w:tcW w:w="2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tcBorders>
            <w:gridSpan w:val="2"/>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2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tcPr>
          <w:p>
            <w:pPr>
              <w:jc w:val="right"/>
              <w:ind w:right="37"/>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80"/>
        </w:trPr>
        <w:tc>
          <w:tcPr>
            <w:tcW w:w="35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262,681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771,045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843,611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178,091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170,030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536,694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531,279</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as percentage of gross profit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bl>
    <w:p>
      <w:pPr>
        <w:spacing w:after="0" w:line="200" w:lineRule="exact"/>
        <w:rPr>
          <w:sz w:val="20"/>
          <w:szCs w:val="20"/>
          <w:color w:val="auto"/>
        </w:rPr>
      </w:pPr>
    </w:p>
    <w:p>
      <w:pPr>
        <w:sectPr>
          <w:pgSz w:w="11900" w:h="16838" w:orient="portrait"/>
          <w:cols w:equalWidth="0" w:num="1">
            <w:col w:w="9120"/>
          </w:cols>
          <w:pgMar w:left="1380" w:top="540" w:right="13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segments consist of Retail, Packaging and Construction, which align with the end markets we serve. Among other advantages, this structure allows for a specialized and consistent sales approach,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The exception to this market-centered reporting and management structure is our International segment, which comprises our packaging operations in Mexico, Canada, Spain, India, and Australia and sales and buying offices in other parts of the world. Our International segment and Ardellis (our insurance captive) are included in “All Other” in the table below. The “Corporate” segment includes purchasing, transportation, corporate ventures, and administrative functions that serve our operating segments. Operating results of Corporate primarily consist of over (under) allocated costs and net sales to external customers initiated by UFP Purchasing, which manages supplier relationships and purchases lumber and other materials, UFP Transportation, which owns, leases and operates transportation equipment, and UFP Real Estate, which owns and leases real estate. Inter-company lease and service charges are assessed to our operating segments for the use of these assets and services at fair market value rates.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operating results, for the periods indicated, by segment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26, 2026</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60" w:type="dxa"/>
            <w:vAlign w:val="bottom"/>
          </w:tcPr>
          <w:p>
            <w:pPr>
              <w:spacing w:after="0"/>
              <w:rPr>
                <w:sz w:val="16"/>
                <w:szCs w:val="16"/>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6"/>
                <w:szCs w:val="16"/>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4"/>
        </w:trPr>
        <w:tc>
          <w:tcPr>
            <w:tcW w:w="1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634,514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465,845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552,423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1,732,836</w:t>
            </w:r>
          </w:p>
        </w:tc>
        <w:tc>
          <w:tcPr>
            <w:tcW w:w="0" w:type="dxa"/>
            <w:vAlign w:val="bottom"/>
          </w:tcPr>
          <w:p>
            <w:pPr>
              <w:spacing w:after="0"/>
              <w:rPr>
                <w:sz w:val="1"/>
                <w:szCs w:val="1"/>
                <w:color w:val="auto"/>
              </w:rPr>
            </w:pPr>
          </w:p>
        </w:tc>
      </w:tr>
      <w:tr>
        <w:trPr>
          <w:trHeight w:val="22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560,963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406,791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1,487,915</w:t>
            </w:r>
          </w:p>
        </w:tc>
        <w:tc>
          <w:tcPr>
            <w:tcW w:w="0" w:type="dxa"/>
            <w:vAlign w:val="bottom"/>
          </w:tcPr>
          <w:p>
            <w:pPr>
              <w:spacing w:after="0"/>
              <w:rPr>
                <w:sz w:val="1"/>
                <w:szCs w:val="1"/>
                <w:color w:val="auto"/>
              </w:rPr>
            </w:pPr>
          </w:p>
        </w:tc>
      </w:tr>
      <w:tr>
        <w:trPr>
          <w:trHeight w:val="216"/>
        </w:trPr>
        <w:tc>
          <w:tcPr>
            <w:tcW w:w="1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244,921</w:t>
            </w:r>
          </w:p>
        </w:tc>
        <w:tc>
          <w:tcPr>
            <w:tcW w:w="0" w:type="dxa"/>
            <w:vAlign w:val="bottom"/>
          </w:tcPr>
          <w:p>
            <w:pPr>
              <w:spacing w:after="0"/>
              <w:rPr>
                <w:sz w:val="1"/>
                <w:szCs w:val="1"/>
                <w:color w:val="auto"/>
              </w:rPr>
            </w:pPr>
          </w:p>
        </w:tc>
      </w:tr>
      <w:tr>
        <w:trPr>
          <w:trHeight w:val="198"/>
        </w:trPr>
        <w:tc>
          <w:tcPr>
            <w:tcW w:w="1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178,091</w:t>
            </w:r>
          </w:p>
        </w:tc>
        <w:tc>
          <w:tcPr>
            <w:tcW w:w="0" w:type="dxa"/>
            <w:vAlign w:val="bottom"/>
          </w:tcPr>
          <w:p>
            <w:pPr>
              <w:spacing w:after="0"/>
              <w:rPr>
                <w:sz w:val="1"/>
                <w:szCs w:val="1"/>
                <w:color w:val="auto"/>
              </w:rPr>
            </w:pPr>
          </w:p>
        </w:tc>
      </w:tr>
      <w:tr>
        <w:trPr>
          <w:trHeight w:val="198"/>
        </w:trPr>
        <w:tc>
          <w:tcPr>
            <w:tcW w:w="1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and</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2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Other (gains) losses, net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1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70,156</w:t>
            </w:r>
          </w:p>
        </w:tc>
        <w:tc>
          <w:tcPr>
            <w:tcW w:w="0" w:type="dxa"/>
            <w:vAlign w:val="bottom"/>
          </w:tcPr>
          <w:p>
            <w:pPr>
              <w:spacing w:after="0"/>
              <w:rPr>
                <w:sz w:val="1"/>
                <w:szCs w:val="1"/>
                <w:color w:val="auto"/>
              </w:rPr>
            </w:pPr>
          </w:p>
        </w:tc>
      </w:tr>
      <w:tr>
        <w:trPr>
          <w:trHeight w:val="385"/>
        </w:trPr>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60" w:type="dxa"/>
            <w:vAlign w:val="bottom"/>
          </w:tcPr>
          <w:p>
            <w:pPr>
              <w:spacing w:after="0"/>
              <w:rPr>
                <w:sz w:val="16"/>
                <w:szCs w:val="16"/>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6"/>
                <w:szCs w:val="16"/>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4"/>
        </w:trPr>
        <w:tc>
          <w:tcPr>
            <w:tcW w:w="1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593,985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394,949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496,465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1,559,627</w:t>
            </w:r>
          </w:p>
        </w:tc>
        <w:tc>
          <w:tcPr>
            <w:tcW w:w="0" w:type="dxa"/>
            <w:vAlign w:val="bottom"/>
          </w:tcPr>
          <w:p>
            <w:pPr>
              <w:spacing w:after="0"/>
              <w:rPr>
                <w:sz w:val="1"/>
                <w:szCs w:val="1"/>
                <w:color w:val="auto"/>
              </w:rPr>
            </w:pPr>
          </w:p>
        </w:tc>
      </w:tr>
      <w:tr>
        <w:trPr>
          <w:trHeight w:val="22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513,763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327,528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405,262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(8,858)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1,296,946</w:t>
            </w:r>
          </w:p>
        </w:tc>
        <w:tc>
          <w:tcPr>
            <w:tcW w:w="0" w:type="dxa"/>
            <w:vAlign w:val="bottom"/>
          </w:tcPr>
          <w:p>
            <w:pPr>
              <w:spacing w:after="0"/>
              <w:rPr>
                <w:sz w:val="1"/>
                <w:szCs w:val="1"/>
                <w:color w:val="auto"/>
              </w:rPr>
            </w:pPr>
          </w:p>
        </w:tc>
      </w:tr>
      <w:tr>
        <w:trPr>
          <w:trHeight w:val="216"/>
        </w:trPr>
        <w:tc>
          <w:tcPr>
            <w:tcW w:w="1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262,681</w:t>
            </w:r>
          </w:p>
        </w:tc>
        <w:tc>
          <w:tcPr>
            <w:tcW w:w="0" w:type="dxa"/>
            <w:vAlign w:val="bottom"/>
          </w:tcPr>
          <w:p>
            <w:pPr>
              <w:spacing w:after="0"/>
              <w:rPr>
                <w:sz w:val="1"/>
                <w:szCs w:val="1"/>
                <w:color w:val="auto"/>
              </w:rPr>
            </w:pPr>
          </w:p>
        </w:tc>
      </w:tr>
      <w:tr>
        <w:trPr>
          <w:trHeight w:val="198"/>
        </w:trPr>
        <w:tc>
          <w:tcPr>
            <w:tcW w:w="1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170,030</w:t>
            </w:r>
          </w:p>
        </w:tc>
        <w:tc>
          <w:tcPr>
            <w:tcW w:w="0" w:type="dxa"/>
            <w:vAlign w:val="bottom"/>
          </w:tcPr>
          <w:p>
            <w:pPr>
              <w:spacing w:after="0"/>
              <w:rPr>
                <w:sz w:val="1"/>
                <w:szCs w:val="1"/>
                <w:color w:val="auto"/>
              </w:rPr>
            </w:pPr>
          </w:p>
        </w:tc>
      </w:tr>
      <w:tr>
        <w:trPr>
          <w:trHeight w:val="198"/>
        </w:trPr>
        <w:tc>
          <w:tcPr>
            <w:tcW w:w="1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and</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(5,970)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0" w:type="dxa"/>
            <w:vAlign w:val="bottom"/>
          </w:tcPr>
          <w:p>
            <w:pPr>
              <w:spacing w:after="0"/>
              <w:rPr>
                <w:sz w:val="1"/>
                <w:szCs w:val="1"/>
                <w:color w:val="auto"/>
              </w:rPr>
            </w:pPr>
          </w:p>
        </w:tc>
      </w:tr>
      <w:tr>
        <w:trPr>
          <w:trHeight w:val="22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Other losses (gains), net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23"/>
        </w:trPr>
        <w:tc>
          <w:tcPr>
            <w:tcW w:w="1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26, 2026</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304"/>
        </w:trPr>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6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24"/>
                <w:szCs w:val="24"/>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1,984,433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1,318,183</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1,544,713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223,461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5,077,040</w:t>
            </w:r>
          </w:p>
        </w:tc>
      </w:tr>
      <w:tr>
        <w:trPr>
          <w:trHeight w:val="22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1,715,673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1,138,422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1,285,463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(18,915)</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4,305,995</w:t>
            </w:r>
          </w:p>
        </w:tc>
      </w:tr>
      <w:tr>
        <w:trPr>
          <w:trHeight w:val="216"/>
        </w:trPr>
        <w:tc>
          <w:tcPr>
            <w:tcW w:w="2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268,760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259,250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771,045</w:t>
            </w: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136,770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189,080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536,694</w:t>
            </w: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and</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(7,579)</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r>
      <w:tr>
        <w:trPr>
          <w:trHeight w:val="22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Other losses, net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23"/>
        </w:trPr>
        <w:tc>
          <w:tcPr>
            <w:tcW w:w="2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237,653</w:t>
            </w:r>
          </w:p>
        </w:tc>
      </w:tr>
      <w:tr>
        <w:trPr>
          <w:trHeight w:val="385"/>
        </w:trPr>
        <w:tc>
          <w:tcPr>
            <w:tcW w:w="2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304"/>
        </w:trPr>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6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24"/>
                <w:szCs w:val="24"/>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1,989,592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1,233,626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1,563,995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4,990,520</w:t>
            </w:r>
          </w:p>
        </w:tc>
      </w:tr>
      <w:tr>
        <w:trPr>
          <w:trHeight w:val="22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1,714,335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1,026,049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1,281,803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(35,984)</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4,146,909</w:t>
            </w:r>
          </w:p>
        </w:tc>
      </w:tr>
      <w:tr>
        <w:trPr>
          <w:trHeight w:val="216"/>
        </w:trPr>
        <w:tc>
          <w:tcPr>
            <w:tcW w:w="2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275,257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207,577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282,192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843,611</w:t>
            </w: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163,029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136,748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185,454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531,279</w:t>
            </w: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and</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(3,116)</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r>
      <w:tr>
        <w:trPr>
          <w:trHeight w:val="22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Other losses (gains), net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23"/>
        </w:trPr>
        <w:tc>
          <w:tcPr>
            <w:tcW w:w="2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304,814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our operating results, for the periods indicated, as a percentage of net sales by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180" w:type="dxa"/>
            <w:vAlign w:val="bottom"/>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7"/>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 September 26, 2026</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1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10"/>
                <w:szCs w:val="10"/>
                <w:color w:val="auto"/>
              </w:rPr>
            </w:pPr>
          </w:p>
        </w:tc>
        <w:tc>
          <w:tcPr>
            <w:tcW w:w="200" w:type="dxa"/>
            <w:vAlign w:val="bottom"/>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9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1160" w:type="dxa"/>
            <w:vAlign w:val="bottom"/>
            <w:gridSpan w:val="2"/>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60" w:type="dxa"/>
            <w:vAlign w:val="bottom"/>
            <w:gridSpan w:val="2"/>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8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and impairment</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assets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Other (gains) losses, net</w:t>
            </w:r>
          </w:p>
        </w:tc>
        <w:tc>
          <w:tcPr>
            <w:tcW w:w="11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180" w:type="dxa"/>
            <w:vAlign w:val="bottom"/>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7"/>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1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9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1160" w:type="dxa"/>
            <w:vAlign w:val="bottom"/>
            <w:gridSpan w:val="2"/>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4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60" w:type="dxa"/>
            <w:vAlign w:val="bottom"/>
            <w:gridSpan w:val="2"/>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8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and impairment</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assets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Other losses (gains), net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11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180" w:type="dxa"/>
            <w:vAlign w:val="bottom"/>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26, 2026</w:t>
            </w: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1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9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1160" w:type="dxa"/>
            <w:vAlign w:val="bottom"/>
            <w:gridSpan w:val="2"/>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4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60" w:type="dxa"/>
            <w:vAlign w:val="bottom"/>
            <w:gridSpan w:val="2"/>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8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and impairment</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assets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Other losses, net</w:t>
            </w:r>
          </w:p>
        </w:tc>
        <w:tc>
          <w:tcPr>
            <w:tcW w:w="11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180" w:type="dxa"/>
            <w:vAlign w:val="bottom"/>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1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9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1160" w:type="dxa"/>
            <w:vAlign w:val="bottom"/>
            <w:gridSpan w:val="2"/>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4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60" w:type="dxa"/>
            <w:vAlign w:val="bottom"/>
            <w:gridSpan w:val="2"/>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8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and impairment</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assets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Other losses (gains), net</w:t>
            </w:r>
          </w:p>
        </w:tc>
        <w:tc>
          <w:tcPr>
            <w:tcW w:w="11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 manufacture and market wood and wood-alternative products, primarily used to enhance outdoor living environments; for national home centers and other retailers; for engineered wood components, structural lumber, and other products for factory-built and site-built residential and commercial construction; customized interior fixtures used in a variety of retail stores, commercial, and other structures; and structural wood packaging, components and packing materials for various industries. Our strategic long-term sales objectives include:</w:t>
      </w:r>
    </w:p>
    <w:p>
      <w:pPr>
        <w:spacing w:after="0" w:line="183" w:lineRule="exact"/>
        <w:rPr>
          <w:sz w:val="20"/>
          <w:szCs w:val="20"/>
          <w:color w:val="auto"/>
        </w:rPr>
      </w:pPr>
    </w:p>
    <w:p>
      <w:pPr>
        <w:jc w:val="both"/>
        <w:ind w:left="320" w:right="20" w:hanging="315"/>
        <w:spacing w:after="0" w:line="266"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Maximizing unit sales growth while achieving return on investment goals.</w:t>
      </w:r>
      <w:r>
        <w:rPr>
          <w:rFonts w:ascii="Times New Roman" w:cs="Times New Roman" w:eastAsia="Times New Roman" w:hAnsi="Times New Roman"/>
          <w:sz w:val="18"/>
          <w:szCs w:val="18"/>
          <w:color w:val="auto"/>
        </w:rPr>
        <w:t xml:space="preserve"> The following table presents estimates, for the periods indicated, of our percentage change in net sales attributable to changes in overall selling prices versus changes in units shipped by segment.</w:t>
      </w:r>
    </w:p>
    <w:p>
      <w:pPr>
        <w:spacing w:after="0" w:line="182" w:lineRule="exact"/>
        <w:rPr>
          <w:rFonts w:ascii="Times New Roman" w:cs="Times New Roman" w:eastAsia="Times New Roman" w:hAnsi="Times New Roman"/>
          <w:sz w:val="18"/>
          <w:szCs w:val="18"/>
          <w:color w:val="auto"/>
        </w:rPr>
      </w:pPr>
    </w:p>
    <w:p>
      <w:pPr>
        <w:ind w:left="6960" w:hanging="187"/>
        <w:spacing w:after="0"/>
        <w:tabs>
          <w:tab w:leader="none" w:pos="6960" w:val="left"/>
        </w:tabs>
        <w:numPr>
          <w:ilvl w:val="1"/>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3580" w:type="dxa"/>
            <w:vAlign w:val="bottom"/>
            <w:tcBorders>
              <w:top w:val="single" w:sz="8" w:color="auto"/>
              <w:bottom w:val="single" w:sz="8" w:color="auto"/>
            </w:tcBorders>
            <w:gridSpan w:val="9"/>
          </w:tcPr>
          <w:p>
            <w:pPr>
              <w:jc w:val="center"/>
              <w:ind w:right="370"/>
              <w:spacing w:after="0" w:line="155" w:lineRule="exact"/>
              <w:rPr>
                <w:sz w:val="20"/>
                <w:szCs w:val="20"/>
                <w:color w:val="auto"/>
              </w:rPr>
            </w:pPr>
            <w:r>
              <w:rPr>
                <w:rFonts w:ascii="Times New Roman" w:cs="Times New Roman" w:eastAsia="Times New Roman" w:hAnsi="Times New Roman"/>
                <w:sz w:val="14"/>
                <w:szCs w:val="14"/>
                <w:b w:val="1"/>
                <w:bCs w:val="1"/>
                <w:color w:val="auto"/>
              </w:rPr>
              <w:t>Third Quarter 2026 versus Third Quarter 2025</w:t>
            </w:r>
          </w:p>
        </w:tc>
        <w:tc>
          <w:tcPr>
            <w:tcW w:w="0" w:type="dxa"/>
            <w:vAlign w:val="bottom"/>
          </w:tcPr>
          <w:p>
            <w:pPr>
              <w:spacing w:after="0"/>
              <w:rPr>
                <w:sz w:val="1"/>
                <w:szCs w:val="1"/>
                <w:color w:val="auto"/>
              </w:rPr>
            </w:pPr>
          </w:p>
        </w:tc>
      </w:tr>
      <w:tr>
        <w:trPr>
          <w:trHeight w:val="124"/>
        </w:trPr>
        <w:tc>
          <w:tcPr>
            <w:tcW w:w="29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in Selling</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tcPr>
          <w:p>
            <w:pPr>
              <w:jc w:val="center"/>
              <w:ind w:right="130"/>
              <w:spacing w:after="0" w:line="124"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80" w:type="dxa"/>
            <w:vAlign w:val="bottom"/>
            <w:gridSpan w:val="2"/>
          </w:tcPr>
          <w:p>
            <w:pPr>
              <w:jc w:val="center"/>
              <w:ind w:right="150"/>
              <w:spacing w:after="0" w:line="124"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 Sales ​​​</w:t>
            </w:r>
          </w:p>
        </w:tc>
        <w:tc>
          <w:tcPr>
            <w:tcW w:w="8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w:t>
            </w:r>
          </w:p>
        </w:tc>
        <w:tc>
          <w:tcPr>
            <w:tcW w:w="780" w:type="dxa"/>
            <w:vAlign w:val="bottom"/>
            <w:gridSpan w:val="2"/>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2840" w:type="dxa"/>
            <w:vAlign w:val="bottom"/>
            <w:gridSpan w:val="3"/>
            <w:vMerge w:val="continue"/>
          </w:tcPr>
          <w:p>
            <w:pPr>
              <w:spacing w:after="0"/>
              <w:rPr>
                <w:sz w:val="15"/>
                <w:szCs w:val="15"/>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Prices   ​​​ in Units ​​​</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Change   ​​​ Change ​​​</w:t>
            </w:r>
          </w:p>
        </w:tc>
        <w:tc>
          <w:tcPr>
            <w:tcW w:w="0" w:type="dxa"/>
            <w:vAlign w:val="bottom"/>
          </w:tcPr>
          <w:p>
            <w:pPr>
              <w:spacing w:after="0"/>
              <w:rPr>
                <w:sz w:val="1"/>
                <w:szCs w:val="1"/>
                <w:color w:val="auto"/>
              </w:rPr>
            </w:pPr>
          </w:p>
        </w:tc>
      </w:tr>
      <w:tr>
        <w:trPr>
          <w:trHeight w:val="216"/>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2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Borders>
              <w:top w:val="single" w:sz="8" w:color="CCEEFF"/>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Packaging</w:t>
            </w:r>
          </w:p>
        </w:tc>
        <w:tc>
          <w:tcPr>
            <w:tcW w:w="284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18.0 %</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3.0 %  15.0 %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840" w:type="dxa"/>
            <w:vAlign w:val="bottom"/>
            <w:tcBorders>
              <w:right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11.3 %</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284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7.7 %</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840" w:type="dxa"/>
            <w:vAlign w:val="bottom"/>
            <w:tcBorders>
              <w:right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16.0 %</w:t>
            </w:r>
          </w:p>
        </w:tc>
        <w:tc>
          <w:tcPr>
            <w:tcW w:w="1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16.0 %</w:t>
            </w:r>
          </w:p>
        </w:tc>
        <w:tc>
          <w:tcPr>
            <w:tcW w:w="174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   16.0 %</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Sales</w:t>
            </w:r>
          </w:p>
        </w:tc>
        <w:tc>
          <w:tcPr>
            <w:tcW w:w="284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11.1 %</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407"/>
        </w:trPr>
        <w:tc>
          <w:tcPr>
            <w:tcW w:w="2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7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8"/>
          </w:tcPr>
          <w:p>
            <w:pPr>
              <w:jc w:val="center"/>
              <w:ind w:right="590"/>
              <w:spacing w:after="0"/>
              <w:rPr>
                <w:sz w:val="20"/>
                <w:szCs w:val="20"/>
                <w:color w:val="auto"/>
              </w:rPr>
            </w:pPr>
            <w:r>
              <w:rPr>
                <w:rFonts w:ascii="Times New Roman" w:cs="Times New Roman" w:eastAsia="Times New Roman" w:hAnsi="Times New Roman"/>
                <w:sz w:val="14"/>
                <w:szCs w:val="14"/>
                <w:b w:val="1"/>
                <w:bCs w:val="1"/>
                <w:color w:val="auto"/>
                <w:w w:val="99"/>
              </w:rPr>
              <w:t>Year-to-Date 2026 versus Year-to-Date 2025</w:t>
            </w:r>
          </w:p>
        </w:tc>
        <w:tc>
          <w:tcPr>
            <w:tcW w:w="0" w:type="dxa"/>
            <w:vAlign w:val="bottom"/>
          </w:tcPr>
          <w:p>
            <w:pPr>
              <w:spacing w:after="0"/>
              <w:rPr>
                <w:sz w:val="1"/>
                <w:szCs w:val="1"/>
                <w:color w:val="auto"/>
              </w:rPr>
            </w:pPr>
          </w:p>
        </w:tc>
      </w:tr>
      <w:tr>
        <w:trPr>
          <w:trHeight w:val="124"/>
        </w:trPr>
        <w:tc>
          <w:tcPr>
            <w:tcW w:w="29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in Selling</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tcPr>
          <w:p>
            <w:pPr>
              <w:jc w:val="center"/>
              <w:ind w:right="130"/>
              <w:spacing w:after="0" w:line="124"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80" w:type="dxa"/>
            <w:vAlign w:val="bottom"/>
            <w:gridSpan w:val="2"/>
          </w:tcPr>
          <w:p>
            <w:pPr>
              <w:jc w:val="center"/>
              <w:ind w:right="150"/>
              <w:spacing w:after="0" w:line="124"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 Sales ​​​</w:t>
            </w:r>
          </w:p>
        </w:tc>
        <w:tc>
          <w:tcPr>
            <w:tcW w:w="8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w:t>
            </w:r>
          </w:p>
        </w:tc>
        <w:tc>
          <w:tcPr>
            <w:tcW w:w="780" w:type="dxa"/>
            <w:vAlign w:val="bottom"/>
            <w:gridSpan w:val="2"/>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0" w:type="dxa"/>
            <w:vAlign w:val="bottom"/>
          </w:tcPr>
          <w:p>
            <w:pPr>
              <w:spacing w:after="0"/>
              <w:rPr>
                <w:sz w:val="1"/>
                <w:szCs w:val="1"/>
                <w:color w:val="auto"/>
              </w:rPr>
            </w:pPr>
          </w:p>
        </w:tc>
      </w:tr>
      <w:tr>
        <w:trPr>
          <w:trHeight w:val="173"/>
        </w:trPr>
        <w:tc>
          <w:tcPr>
            <w:tcW w:w="29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Prices   ​​​ in Units ​​​</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Change   ​​​ Change ​​​</w:t>
            </w:r>
          </w:p>
        </w:tc>
        <w:tc>
          <w:tcPr>
            <w:tcW w:w="0" w:type="dxa"/>
            <w:vAlign w:val="bottom"/>
          </w:tcPr>
          <w:p>
            <w:pPr>
              <w:spacing w:after="0"/>
              <w:rPr>
                <w:sz w:val="1"/>
                <w:szCs w:val="1"/>
                <w:color w:val="auto"/>
              </w:rPr>
            </w:pPr>
          </w:p>
        </w:tc>
      </w:tr>
      <w:tr>
        <w:trPr>
          <w:trHeight w:val="27"/>
        </w:trPr>
        <w:tc>
          <w:tcPr>
            <w:tcW w:w="2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2120" w:type="dxa"/>
            <w:vAlign w:val="bottom"/>
            <w:vMerge w:val="restart"/>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vMerge w:val="continue"/>
            <w:shd w:val="clear" w:color="auto" w:fill="CCEEFF"/>
          </w:tcPr>
          <w:p>
            <w:pPr>
              <w:spacing w:after="0"/>
              <w:rPr>
                <w:sz w:val="18"/>
                <w:szCs w:val="18"/>
                <w:color w:val="auto"/>
              </w:rPr>
            </w:pPr>
          </w:p>
        </w:tc>
        <w:tc>
          <w:tcPr>
            <w:tcW w:w="2120" w:type="dxa"/>
            <w:vAlign w:val="bottom"/>
            <w:vMerge w:val="continue"/>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Packaging</w:t>
            </w:r>
          </w:p>
        </w:tc>
        <w:tc>
          <w:tcPr>
            <w:tcW w:w="284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6.9 %</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840" w:type="dxa"/>
            <w:vAlign w:val="bottom"/>
            <w:tcBorders>
              <w:right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284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13.0 %</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1.0 %  12.0 %</w:t>
            </w:r>
          </w:p>
        </w:tc>
        <w:tc>
          <w:tcPr>
            <w:tcW w:w="17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 %   12.0 %</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840" w:type="dxa"/>
            <w:vAlign w:val="bottom"/>
            <w:tcBorders>
              <w:right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13.6 %</w:t>
            </w:r>
          </w:p>
        </w:tc>
        <w:tc>
          <w:tcPr>
            <w:tcW w:w="1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13.6 %</w:t>
            </w:r>
          </w:p>
        </w:tc>
        <w:tc>
          <w:tcPr>
            <w:tcW w:w="174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   13.6 %</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Sales</w:t>
            </w:r>
          </w:p>
        </w:tc>
        <w:tc>
          <w:tcPr>
            <w:tcW w:w="284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1.7 %</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0.7 %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20" w:hanging="315"/>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Expanding geographically in our higher margin core businesses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20" w:hanging="315"/>
        <w:spacing w:after="0" w:line="253"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Increasing our sales of “value-added” products and enhancing our product offerings with new or improved products. </w:t>
      </w:r>
      <w:r>
        <w:rPr>
          <w:rFonts w:ascii="Times New Roman" w:cs="Times New Roman" w:eastAsia="Times New Roman" w:hAnsi="Times New Roman"/>
          <w:sz w:val="18"/>
          <w:szCs w:val="18"/>
          <w:color w:val="auto"/>
        </w:rPr>
        <w:t>Value-added products generally consist of fencing, decking, lattice, and other specialty products sold in the Retail segment; structural and protective packaging and machine-built pallets sold in the Packaging segment; engineered wood components, customized interior fixtures, manufactured and assembled concrete forms sold in the Construction segment; and “wood alternative” products. Engineered wood components include roof trusses, wall panels, and floor systems. Wood-alternative products consist of products manufactured with wood and non-wood composites, metals and plastics sold in each of our segments.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 We estimate that approximately 81% of our sales consist of products we manufacture at our locations, while 19% of our sales consist of products manufactured by suppliers that we inventory and distribute to customers.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21" w:lineRule="exact"/>
        <w:rPr>
          <w:sz w:val="20"/>
          <w:szCs w:val="20"/>
          <w:color w:val="auto"/>
        </w:rPr>
      </w:pPr>
    </w:p>
    <w:p>
      <w:pPr>
        <w:jc w:val="both"/>
        <w:ind w:left="320" w:right="80"/>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sales by our segments: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60" w:type="dxa"/>
            <w:vAlign w:val="bottom"/>
          </w:tcPr>
          <w:p>
            <w:pPr>
              <w:spacing w:after="0"/>
              <w:rPr>
                <w:sz w:val="15"/>
                <w:szCs w:val="15"/>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26, 2026</w:t>
            </w:r>
          </w:p>
        </w:tc>
        <w:tc>
          <w:tcPr>
            <w:tcW w:w="160" w:type="dxa"/>
            <w:vAlign w:val="bottom"/>
          </w:tcPr>
          <w:p>
            <w:pPr>
              <w:spacing w:after="0"/>
              <w:rPr>
                <w:sz w:val="15"/>
                <w:szCs w:val="15"/>
                <w:color w:val="auto"/>
              </w:rPr>
            </w:pPr>
          </w:p>
        </w:tc>
        <w:tc>
          <w:tcPr>
            <w:tcW w:w="2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200" w:type="dxa"/>
            <w:vAlign w:val="bottom"/>
            <w:gridSpan w:val="2"/>
          </w:tcPr>
          <w:p>
            <w:pPr>
              <w:spacing w:after="0"/>
              <w:rPr>
                <w:sz w:val="15"/>
                <w:szCs w:val="15"/>
                <w:color w:val="auto"/>
              </w:rPr>
            </w:pPr>
          </w:p>
        </w:tc>
      </w:tr>
      <w:tr>
        <w:trPr>
          <w:trHeight w:val="156"/>
        </w:trPr>
        <w:tc>
          <w:tcPr>
            <w:tcW w:w="3700" w:type="dxa"/>
            <w:vAlign w:val="bottom"/>
            <w:gridSpan w:val="2"/>
          </w:tcPr>
          <w:p>
            <w:pPr>
              <w:ind w:left="358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Value-Added</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Commodity-Based</w:t>
            </w:r>
          </w:p>
        </w:tc>
        <w:tc>
          <w:tcPr>
            <w:tcW w:w="1360" w:type="dxa"/>
            <w:vAlign w:val="bottom"/>
            <w:gridSpan w:val="2"/>
          </w:tcPr>
          <w:p>
            <w:pPr>
              <w:jc w:val="right"/>
              <w:ind w:right="99"/>
              <w:spacing w:after="0" w:line="149"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Value-Added</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Commodity-Based</w:t>
            </w:r>
          </w:p>
        </w:tc>
        <w:tc>
          <w:tcPr>
            <w:tcW w:w="200" w:type="dxa"/>
            <w:vAlign w:val="bottom"/>
            <w:gridSpan w:val="2"/>
          </w:tcPr>
          <w:p>
            <w:pPr>
              <w:spacing w:after="0"/>
              <w:rPr>
                <w:sz w:val="13"/>
                <w:szCs w:val="13"/>
                <w:color w:val="auto"/>
              </w:rPr>
            </w:pPr>
          </w:p>
        </w:tc>
      </w:tr>
      <w:tr>
        <w:trPr>
          <w:trHeight w:val="216"/>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Packaging</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81.6 %</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Sales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53"/>
        </w:trPr>
        <w:tc>
          <w:tcPr>
            <w:tcW w:w="3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26, 2026</w:t>
            </w:r>
          </w:p>
        </w:tc>
        <w:tc>
          <w:tcPr>
            <w:tcW w:w="160" w:type="dxa"/>
            <w:vAlign w:val="bottom"/>
          </w:tcPr>
          <w:p>
            <w:pPr>
              <w:spacing w:after="0"/>
              <w:rPr>
                <w:sz w:val="24"/>
                <w:szCs w:val="24"/>
                <w:color w:val="auto"/>
              </w:rPr>
            </w:pPr>
          </w:p>
        </w:tc>
        <w:tc>
          <w:tcPr>
            <w:tcW w:w="2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200" w:type="dxa"/>
            <w:vAlign w:val="bottom"/>
            <w:gridSpan w:val="2"/>
          </w:tcPr>
          <w:p>
            <w:pPr>
              <w:spacing w:after="0"/>
              <w:rPr>
                <w:sz w:val="24"/>
                <w:szCs w:val="24"/>
                <w:color w:val="auto"/>
              </w:rPr>
            </w:pPr>
          </w:p>
        </w:tc>
      </w:tr>
      <w:tr>
        <w:trPr>
          <w:trHeight w:val="155"/>
        </w:trPr>
        <w:tc>
          <w:tcPr>
            <w:tcW w:w="3700" w:type="dxa"/>
            <w:vAlign w:val="bottom"/>
            <w:gridSpan w:val="2"/>
          </w:tcPr>
          <w:p>
            <w:pPr>
              <w:ind w:left="358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Value-Added</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Commodity-Based</w:t>
            </w:r>
          </w:p>
        </w:tc>
        <w:tc>
          <w:tcPr>
            <w:tcW w:w="1360" w:type="dxa"/>
            <w:vAlign w:val="bottom"/>
            <w:gridSpan w:val="2"/>
          </w:tcPr>
          <w:p>
            <w:pPr>
              <w:jc w:val="right"/>
              <w:ind w:right="99"/>
              <w:spacing w:after="0" w:line="149"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Value-Added</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Commodity-Based</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w:t>
            </w:r>
          </w:p>
        </w:tc>
      </w:tr>
      <w:tr>
        <w:trPr>
          <w:trHeight w:val="216"/>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Packaging</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76.1 %</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Sales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"value-added" resulted in a change in prior year's sales.</w:t>
      </w:r>
    </w:p>
    <w:p>
      <w:pPr>
        <w:spacing w:after="0" w:line="208" w:lineRule="exact"/>
        <w:rPr>
          <w:sz w:val="20"/>
          <w:szCs w:val="20"/>
          <w:color w:val="auto"/>
        </w:rPr>
      </w:pPr>
    </w:p>
    <w:p>
      <w:pPr>
        <w:jc w:val="both"/>
        <w:ind w:left="320" w:right="80"/>
        <w:spacing w:after="0" w:line="266" w:lineRule="auto"/>
        <w:rPr>
          <w:sz w:val="20"/>
          <w:szCs w:val="20"/>
          <w:color w:val="auto"/>
        </w:rPr>
      </w:pPr>
      <w:r>
        <w:rPr>
          <w:rFonts w:ascii="Times New Roman" w:cs="Times New Roman" w:eastAsia="Times New Roman" w:hAnsi="Times New Roman"/>
          <w:sz w:val="18"/>
          <w:szCs w:val="18"/>
          <w:color w:val="auto"/>
        </w:rPr>
        <w:t>Our overall unit sales of value-added products were up 11% in the third quarter and up 3% in the first nine months of 2026 compared to the prior year. Our overall unit sales of commodity-based products were down 5% third quarter and down 5% in the first nine months of 2026 compared to the prior year.</w:t>
      </w:r>
    </w:p>
    <w:p>
      <w:pPr>
        <w:spacing w:after="0" w:line="176" w:lineRule="exact"/>
        <w:rPr>
          <w:sz w:val="20"/>
          <w:szCs w:val="20"/>
          <w:color w:val="auto"/>
        </w:rPr>
      </w:pPr>
    </w:p>
    <w:p>
      <w:pPr>
        <w:jc w:val="both"/>
        <w:ind w:left="320" w:right="80" w:hanging="315"/>
        <w:spacing w:after="0" w:line="253"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Developing new products.</w:t>
      </w:r>
      <w:r>
        <w:rPr>
          <w:rFonts w:ascii="Times New Roman" w:cs="Times New Roman" w:eastAsia="Times New Roman" w:hAnsi="Times New Roman"/>
          <w:sz w:val="18"/>
          <w:szCs w:val="18"/>
          <w:color w:val="auto"/>
        </w:rPr>
        <w:t xml:space="preserve"> We define new products as those that will generate sales of at least $1 million per year within 4 years of launch and are still growing and gaining market penetration and meet our internal definition of value-added products. New product sales in the third quarter and first nine months of 2026 increased 43% and 32%, respectively. The increase in the third quarter was primarily attributable to sales of Venture and Surestone™ decking products in our Retail segment, mixed-material products for a key national customer in our Packaging segment, and exterior siding, cladding, and light-gauge metal components, in our Construction segment. Approximately $20.8 million of new product sales for the first nine months of 2025, while they continue to be sold, were sunset in 2026 and excluded from the table below because they no longer meet the definition above. Our short-term goal is to achieve annual new product sales of at least $560 million in 2026. For the first nine months of 2026, new product sales totaled $423 million. Our long-term goal is for new products to comprise at least 10% of our total net sales.</w:t>
      </w:r>
    </w:p>
    <w:p>
      <w:pPr>
        <w:spacing w:after="0" w:line="194"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presents new product sales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7"/>
          </w:tcPr>
          <w:p>
            <w:pPr>
              <w:jc w:val="center"/>
              <w:ind w:left="604"/>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760" w:type="dxa"/>
            <w:vAlign w:val="bottom"/>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24"/>
        </w:trPr>
        <w:tc>
          <w:tcPr>
            <w:tcW w:w="2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75"/>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Pr>
          <w:p>
            <w:pPr>
              <w:spacing w:after="0"/>
              <w:rPr>
                <w:sz w:val="10"/>
                <w:szCs w:val="10"/>
                <w:color w:val="auto"/>
              </w:rPr>
            </w:pPr>
          </w:p>
        </w:tc>
        <w:tc>
          <w:tcPr>
            <w:tcW w:w="9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20" w:type="dxa"/>
            <w:vAlign w:val="bottom"/>
          </w:tcPr>
          <w:p>
            <w:pPr>
              <w:spacing w:after="0"/>
              <w:rPr>
                <w:sz w:val="10"/>
                <w:szCs w:val="10"/>
                <w:color w:val="auto"/>
              </w:rPr>
            </w:pPr>
          </w:p>
        </w:tc>
        <w:tc>
          <w:tcPr>
            <w:tcW w:w="1620" w:type="dxa"/>
            <w:vAlign w:val="bottom"/>
            <w:gridSpan w:val="4"/>
          </w:tcPr>
          <w:p>
            <w:pPr>
              <w:ind w:left="120"/>
              <w:spacing w:after="0" w:line="124" w:lineRule="exact"/>
              <w:rPr>
                <w:sz w:val="20"/>
                <w:szCs w:val="20"/>
                <w:color w:val="auto"/>
              </w:rPr>
            </w:pPr>
            <w:r>
              <w:rPr>
                <w:rFonts w:ascii="Times New Roman" w:cs="Times New Roman" w:eastAsia="Times New Roman" w:hAnsi="Times New Roman"/>
                <w:sz w:val="14"/>
                <w:szCs w:val="14"/>
                <w:b w:val="1"/>
                <w:bCs w:val="1"/>
                <w:color w:val="auto"/>
              </w:rPr>
              <w:t>​​​  September 27,</w:t>
            </w:r>
          </w:p>
        </w:tc>
        <w:tc>
          <w:tcPr>
            <w:tcW w:w="9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240" w:type="dxa"/>
            <w:vAlign w:val="bottom"/>
            <w:gridSpan w:val="3"/>
          </w:tcPr>
          <w:p>
            <w:pPr>
              <w:jc w:val="right"/>
              <w:ind w:right="90"/>
              <w:spacing w:after="0" w:line="124" w:lineRule="exact"/>
              <w:rPr>
                <w:sz w:val="20"/>
                <w:szCs w:val="20"/>
                <w:color w:val="auto"/>
              </w:rPr>
            </w:pPr>
            <w:r>
              <w:rPr>
                <w:rFonts w:ascii="Times New Roman" w:cs="Times New Roman" w:eastAsia="Times New Roman" w:hAnsi="Times New Roman"/>
                <w:sz w:val="14"/>
                <w:szCs w:val="14"/>
                <w:b w:val="1"/>
                <w:bCs w:val="1"/>
                <w:color w:val="auto"/>
              </w:rPr>
              <w:t>​​​   % Change</w:t>
            </w:r>
          </w:p>
        </w:tc>
        <w:tc>
          <w:tcPr>
            <w:tcW w:w="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80" w:type="dxa"/>
            <w:vAlign w:val="bottom"/>
          </w:tcPr>
          <w:p>
            <w:pPr>
              <w:spacing w:after="0"/>
              <w:rPr>
                <w:sz w:val="15"/>
                <w:szCs w:val="15"/>
                <w:color w:val="auto"/>
              </w:rPr>
            </w:pPr>
          </w:p>
        </w:tc>
        <w:tc>
          <w:tcPr>
            <w:tcW w:w="144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Packaging</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38,480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304.8 %</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7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New Product Sales</w:t>
            </w: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150,857</w:t>
            </w:r>
          </w:p>
        </w:tc>
        <w:tc>
          <w:tcPr>
            <w:tcW w:w="94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8.7</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105,856</w:t>
            </w: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42.5</w:t>
            </w:r>
          </w:p>
        </w:tc>
        <w:tc>
          <w:tcPr>
            <w:tcW w:w="2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200" w:lineRule="exact"/>
        <w:rPr>
          <w:sz w:val="20"/>
          <w:szCs w:val="20"/>
          <w:color w:val="auto"/>
        </w:rPr>
      </w:pPr>
    </w:p>
    <w:p>
      <w:pPr>
        <w:spacing w:after="0" w:line="3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200"/>
          </w:cols>
          <w:pgMar w:left="1380" w:top="540" w:right="1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60" w:type="dxa"/>
            <w:vAlign w:val="bottom"/>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75"/>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Pr>
          <w:p>
            <w:pPr>
              <w:spacing w:after="0"/>
              <w:rPr>
                <w:sz w:val="10"/>
                <w:szCs w:val="10"/>
                <w:color w:val="auto"/>
              </w:rPr>
            </w:pPr>
          </w:p>
        </w:tc>
        <w:tc>
          <w:tcPr>
            <w:tcW w:w="10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360" w:type="dxa"/>
            <w:vAlign w:val="bottom"/>
            <w:gridSpan w:val="2"/>
          </w:tcPr>
          <w:p>
            <w:pPr>
              <w:jc w:val="right"/>
              <w:ind w:right="5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3"/>
          </w:tcPr>
          <w:p>
            <w:pPr>
              <w:jc w:val="right"/>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9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240" w:type="dxa"/>
            <w:vAlign w:val="bottom"/>
            <w:gridSpan w:val="3"/>
          </w:tcPr>
          <w:p>
            <w:pPr>
              <w:jc w:val="right"/>
              <w:ind w:right="90"/>
              <w:spacing w:after="0" w:line="124" w:lineRule="exact"/>
              <w:rPr>
                <w:sz w:val="20"/>
                <w:szCs w:val="20"/>
                <w:color w:val="auto"/>
              </w:rPr>
            </w:pPr>
            <w:r>
              <w:rPr>
                <w:rFonts w:ascii="Times New Roman" w:cs="Times New Roman" w:eastAsia="Times New Roman" w:hAnsi="Times New Roman"/>
                <w:sz w:val="14"/>
                <w:szCs w:val="14"/>
                <w:b w:val="1"/>
                <w:bCs w:val="1"/>
                <w:color w:val="auto"/>
              </w:rPr>
              <w:t>​​​   % Change</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7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198,122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Packaging</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154,870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117,461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169.1 %</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7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New Product Sales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423,257</w:t>
            </w:r>
          </w:p>
        </w:tc>
        <w:tc>
          <w:tcPr>
            <w:tcW w:w="9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321,816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31.5</w:t>
            </w:r>
          </w:p>
        </w:tc>
        <w:tc>
          <w:tcPr>
            <w:tcW w:w="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Retail Segment</w:t>
      </w:r>
    </w:p>
    <w:p>
      <w:pPr>
        <w:spacing w:after="0" w:line="22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Net sales in the third quarter of 2026 increased by 7% compared to the same period of 2025 due to a 6% increase in selling prices and a 1% increase due to acquisitions. Organic unit changes within this segment consisted of a 21% increase in Deckorators primarily due to market share gains, offset by a 4% decrease in ProWood. The decline in ProWood volume is primarily due to weaker consumer sentiment and economic uncertainty resulting in softening demand to complete repair and remodel projects.</w:t>
      </w:r>
    </w:p>
    <w:p>
      <w:pPr>
        <w:spacing w:after="0" w:line="18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Year over year sales in our Deckorators business unit increased 34%, comprised of a 69% increase in wood-plastic composite decking and a 70% increase in our mineral-based-composite decking (sold under the Surestone tradename). An acquired business contributed 10% to our sales growth in Deckorators and 44% to our sales growth in wood-plastic composite decking. Our railing sales increased 2% for the quarter.</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unit sales to big box customers, which we believe are more closely correlated with repair and remodel activity, decreased approximately 4%, while our unit sales to independent retailers increased approximately 9% due increased sales in our Deckorators business unit.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decreased by $7 million, or 8%, to $74 million in the third quarter of 2026 compared to the same period of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gross profit was attributable to the following:</w:t>
      </w:r>
    </w:p>
    <w:p>
      <w:pPr>
        <w:spacing w:after="0" w:line="207" w:lineRule="exact"/>
        <w:rPr>
          <w:sz w:val="20"/>
          <w:szCs w:val="20"/>
          <w:color w:val="auto"/>
        </w:rPr>
      </w:pPr>
    </w:p>
    <w:p>
      <w:pPr>
        <w:jc w:val="both"/>
        <w:ind w:left="680" w:right="80" w:hanging="324"/>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Deckorators business unit increased by $2 million despite higher transportation costs. This business unit continues to make progress optimizing new capacity and we anticipate a higher profit contribution on growth in future quarters.</w:t>
      </w:r>
    </w:p>
    <w:p>
      <w:pPr>
        <w:spacing w:after="0" w:line="175" w:lineRule="exact"/>
        <w:rPr>
          <w:rFonts w:ascii="Times New Roman" w:cs="Times New Roman" w:eastAsia="Times New Roman" w:hAnsi="Times New Roman"/>
          <w:sz w:val="18"/>
          <w:szCs w:val="18"/>
          <w:color w:val="auto"/>
        </w:rPr>
      </w:pPr>
    </w:p>
    <w:p>
      <w:pPr>
        <w:ind w:left="680" w:right="100" w:hanging="324"/>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Edge business unit improved by $2 million as a result of cost savings from the prior year closure of the Bonner, MT facility and restructuring of this business unit which led to operational improvements.</w:t>
      </w:r>
    </w:p>
    <w:p>
      <w:pPr>
        <w:spacing w:after="0" w:line="161" w:lineRule="exact"/>
        <w:rPr>
          <w:rFonts w:ascii="Times New Roman" w:cs="Times New Roman" w:eastAsia="Times New Roman" w:hAnsi="Times New Roman"/>
          <w:sz w:val="18"/>
          <w:szCs w:val="18"/>
          <w:color w:val="auto"/>
        </w:rPr>
      </w:pPr>
    </w:p>
    <w:p>
      <w:pPr>
        <w:jc w:val="both"/>
        <w:ind w:left="680" w:right="100" w:hanging="324"/>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ProWood pressure-treated products decreased by $11 million, due to higher transportation costs, and higher material costs that were not fully passed through to customers as a result of falling lumber prices in the third quarter.</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SG&amp;A increased by $3 million, or 7%, in the third quarter of 2026 compared to the same period of 2025. The increase is the result of a $1 million increase from acquired operations and a $2 million increase in expenses across several other categories. Accrued bonus totaled $9 million for the quarter.</w:t>
      </w:r>
    </w:p>
    <w:p>
      <w:pPr>
        <w:spacing w:after="0" w:line="176" w:lineRule="exact"/>
        <w:rPr>
          <w:sz w:val="20"/>
          <w:szCs w:val="20"/>
          <w:color w:val="auto"/>
        </w:rPr>
      </w:pPr>
    </w:p>
    <w:p>
      <w:pPr>
        <w:jc w:val="both"/>
        <w:ind w:right="80"/>
        <w:spacing w:after="0" w:line="274" w:lineRule="auto"/>
        <w:rPr>
          <w:sz w:val="20"/>
          <w:szCs w:val="20"/>
          <w:color w:val="auto"/>
        </w:rPr>
      </w:pPr>
      <w:r>
        <w:rPr>
          <w:rFonts w:ascii="Times New Roman" w:cs="Times New Roman" w:eastAsia="Times New Roman" w:hAnsi="Times New Roman"/>
          <w:sz w:val="17"/>
          <w:szCs w:val="17"/>
          <w:color w:val="auto"/>
        </w:rPr>
        <w:t>Earnings from operations remained flat in the third quarter of 2026 compared to the same period of 2025, as a result of the factors mentioned above, offset by the decrease of $9 million in the net loss on disposition and impairment of assets. The year over year change was a result of $1 million in losses on the sale of machinery and equipment in the current year compared with $10 million in net losses in the prior year comprised of machinery and equipment impairment charges of $11 million, lease impairment charges of $2 million and intangible asset impairment charges of $2 million, partially offset by a gain on the sale of machinery and equipment totaling $5 million. Additionally, we realized a $1 million increase in foreign currency gains.</w:t>
      </w:r>
    </w:p>
    <w:p>
      <w:pPr>
        <w:sectPr>
          <w:pgSz w:w="11900" w:h="16838" w:orient="portrait"/>
          <w:cols w:equalWidth="0" w:num="1">
            <w:col w:w="9200"/>
          </w:cols>
          <w:pgMar w:left="1380" w:top="54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200"/>
          </w:cols>
          <w:pgMar w:left="1380" w:top="540" w:right="13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first nine months of 2026 remained flat compared to the same period of 2025, due to a 4% decrease in organic units, offset by a 3% increase in selling prices and 1% increase due to acquisitions. Organic unit changes within this segment consisted of decreases of 13% in Edge and 6% in ProWood, partially offset by a 12% increase in Deckorators.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Within Deckorators, our mineral-based-composite decking sales increased by 45% as consumers continue to see the benefits of its superior product attributes, and wood-plastic composite decking increased by 57%. An acquired business contributed an additional 8% in sales growth to Deckorators and 34% in sales growth to wood-plastic composite decking. These increases were partially offset by an 8% decrease in railing sales. Unit sales to big box customers decreased approximately 6%, while unit sales to independent retailers remained flat.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decreased $6 million in the first nine months of 2026 compared to the same period in 2025. The components of gross profit were as follows:</w:t>
      </w:r>
    </w:p>
    <w:p>
      <w:pPr>
        <w:spacing w:after="0" w:line="162" w:lineRule="exact"/>
        <w:rPr>
          <w:sz w:val="20"/>
          <w:szCs w:val="20"/>
          <w:color w:val="auto"/>
        </w:rPr>
      </w:pPr>
    </w:p>
    <w:p>
      <w:pPr>
        <w:ind w:left="680" w:right="20" w:hanging="324"/>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Edge business unit improved by $6 million as a result of cost savings from the prior year closure of the Bonner, MT facility and restructuring of this business unit which led to operational improvements.</w:t>
      </w:r>
    </w:p>
    <w:p>
      <w:pPr>
        <w:spacing w:after="0" w:line="161" w:lineRule="exact"/>
        <w:rPr>
          <w:rFonts w:ascii="Times New Roman" w:cs="Times New Roman" w:eastAsia="Times New Roman" w:hAnsi="Times New Roman"/>
          <w:sz w:val="18"/>
          <w:szCs w:val="18"/>
          <w:color w:val="auto"/>
        </w:rPr>
      </w:pPr>
    </w:p>
    <w:p>
      <w:pPr>
        <w:jc w:val="both"/>
        <w:ind w:left="680" w:hanging="324"/>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Deckorators business unit increased by $5 million despite higher transportation costs. This business unit continues to make progress optimizing new capacity and we anticipate a higher profit contribution on growth in future quarters.</w:t>
      </w:r>
    </w:p>
    <w:p>
      <w:pPr>
        <w:spacing w:after="0" w:line="175" w:lineRule="exact"/>
        <w:rPr>
          <w:rFonts w:ascii="Times New Roman" w:cs="Times New Roman" w:eastAsia="Times New Roman" w:hAnsi="Times New Roman"/>
          <w:sz w:val="18"/>
          <w:szCs w:val="18"/>
          <w:color w:val="auto"/>
        </w:rPr>
      </w:pPr>
    </w:p>
    <w:p>
      <w:pPr>
        <w:ind w:left="680" w:hanging="324"/>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ProWood business unit decreased $17 million, primarily due to a decline in unit sales and higher transportation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increased by approximately $8 million, or 5%, in the first nine months of 2026 compared to the same period of 2025. The increase was due to a $2 million increase due to acquired operations, and a $6 million increase in expenses across several other categories. Accrued bonus expense totaled $32 million for the first nine months of 2026.</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Earnings from operations decreased in the first nine months of 2026 compared to the same period of 2025 by $5 million, or 5%, as a result of the factors mentioned above as well as an $8 million decrease in the net loss on disposition and impairment of assets, comprised of losses on the sales of property and equipment totaling $3 million in the current year and $11 million in 2025. Prior year losses were comprised of machinery and equipment impairment charges of $11 million, lease impairment charges of $3 million and intangible asset impairment charges of $2 million, partially offset by a gain on the sale of machinery and equipment totaling $5 million. Additionally, we realized $1 million in foreign currency losses in the prior year compared with none in the current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Packaging Segment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third quarter of 2026 increased 18% compared to the same period of 2025, due to a 9% increase in organic unit sales, a 6% contribution from business acquisitions, and a 3% increase in selling prices. Organic unit changes consist of increases of 14% in Structural Packaging, 5% in Protective Packaging, and 1% in PalletOne. Acquisitions contributed an additional 18% in unit sales to PalletOne.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decreased by $8 million, or 12%, in the third quarter of 2026 compared to the same period of 2025. The change in gross profit was attributable to the following:</w:t>
      </w:r>
    </w:p>
    <w:p>
      <w:pPr>
        <w:spacing w:after="0" w:line="162" w:lineRule="exact"/>
        <w:rPr>
          <w:sz w:val="20"/>
          <w:szCs w:val="20"/>
          <w:color w:val="auto"/>
        </w:rPr>
      </w:pPr>
    </w:p>
    <w:p>
      <w:pPr>
        <w:ind w:left="680" w:right="20" w:hanging="324"/>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PalletOne business unit decreased by $4 million primarily due to transportation costs and inefficiencies in acquired operations. We anticipate improvements in these operations in future quarters.</w:t>
      </w:r>
    </w:p>
    <w:p>
      <w:pPr>
        <w:spacing w:after="0" w:line="161" w:lineRule="exact"/>
        <w:rPr>
          <w:rFonts w:ascii="Times New Roman" w:cs="Times New Roman" w:eastAsia="Times New Roman" w:hAnsi="Times New Roman"/>
          <w:sz w:val="18"/>
          <w:szCs w:val="18"/>
          <w:color w:val="auto"/>
        </w:rPr>
      </w:pPr>
    </w:p>
    <w:p>
      <w:pPr>
        <w:ind w:left="680" w:hanging="324"/>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Structural Packaging business unit decreased by $2 million due to an increase in transportation costs.</w:t>
      </w:r>
    </w:p>
    <w:p>
      <w:pPr>
        <w:spacing w:after="0" w:line="161" w:lineRule="exact"/>
        <w:rPr>
          <w:rFonts w:ascii="Times New Roman" w:cs="Times New Roman" w:eastAsia="Times New Roman" w:hAnsi="Times New Roman"/>
          <w:sz w:val="18"/>
          <w:szCs w:val="18"/>
          <w:color w:val="auto"/>
        </w:rPr>
      </w:pPr>
    </w:p>
    <w:p>
      <w:pPr>
        <w:ind w:left="680" w:right="20" w:hanging="324"/>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Protective Packaging business unit decreased by $2 million compared to the same period of 2025, resulting from unabsorbed manufacturing overhead costs associated with two new greenfield locations.</w:t>
      </w:r>
    </w:p>
    <w:p>
      <w:pPr>
        <w:sectPr>
          <w:pgSz w:w="11900" w:h="16838" w:orient="portrait"/>
          <w:cols w:equalWidth="0" w:num="1">
            <w:col w:w="9120"/>
          </w:cols>
          <w:pgMar w:left="1380" w:top="540" w:right="13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remained flat in the third quarter of 2026 compared to the same period of 2025. Accrued bonus expense decreased approximately $2 million relative to the same period of 2025 and totaled $7 million for the quarter. The decrease was offset by a $1 million increase due to acquired operations and a $1 million increase in expenses across several other categories.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from operations decreased in the third quarter of 2026 compared to the same period of 2025 by $15 million, or 53%, due to the factors discussed above, as well as a $6 million decrease in the net gain on disposition and impairment of assets, which was comprised of a gain on the sale of machinery and equipment totaling $6 million in the third quarter of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first nine months of 2026 increased 7% compared to the same period of 2025, due to organic unit growth of 4% and acquired businesses which contributed 3% to unit growth. Organic unit changes consist of an 8% increase in Protective Packaging and a 7% increase in Structural Packaging, partially offset by a 3% decrease in PalletOne. Acquisitions contributed an additional 10% in unit sales growth to PalletOne.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decreased by $28 million, or 13%, for the first nine months of 2026 compared to the same period in 2025. The change in gross profit was attributable to the following.</w:t>
      </w:r>
    </w:p>
    <w:p>
      <w:pPr>
        <w:spacing w:after="0" w:line="162" w:lineRule="exact"/>
        <w:rPr>
          <w:sz w:val="20"/>
          <w:szCs w:val="20"/>
          <w:color w:val="auto"/>
        </w:rPr>
      </w:pPr>
    </w:p>
    <w:p>
      <w:pPr>
        <w:ind w:left="680" w:hanging="324"/>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PalletOne business unit decreased by $16 million primarily due to weak demand, higher material and transportation costs, and inefficiencies in acquired operations.</w:t>
      </w:r>
    </w:p>
    <w:p>
      <w:pPr>
        <w:spacing w:after="0" w:line="161" w:lineRule="exact"/>
        <w:rPr>
          <w:rFonts w:ascii="Times New Roman" w:cs="Times New Roman" w:eastAsia="Times New Roman" w:hAnsi="Times New Roman"/>
          <w:sz w:val="18"/>
          <w:szCs w:val="18"/>
          <w:color w:val="auto"/>
        </w:rPr>
      </w:pPr>
    </w:p>
    <w:p>
      <w:pPr>
        <w:ind w:left="680" w:hanging="324"/>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Structural Packaging business unit decreased by $8 million primarily due to higher transportation costs.</w:t>
      </w:r>
    </w:p>
    <w:p>
      <w:pPr>
        <w:spacing w:after="0" w:line="161" w:lineRule="exact"/>
        <w:rPr>
          <w:rFonts w:ascii="Times New Roman" w:cs="Times New Roman" w:eastAsia="Times New Roman" w:hAnsi="Times New Roman"/>
          <w:sz w:val="18"/>
          <w:szCs w:val="18"/>
          <w:color w:val="auto"/>
        </w:rPr>
      </w:pPr>
    </w:p>
    <w:p>
      <w:pPr>
        <w:ind w:left="680" w:hanging="324"/>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Protective Packaging business unit decreased $4 million compared to the same period of 2025, resulting from unabsorbed manufacturing overhead costs associated with two new greenfield locations.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remained flat for first nine months of 2026 compared to the same period of 2025. Accrued bonus expense decreased $6 million and totaled $19 million for the nine months of 2026. The decrease was offset by a one-time write off on an earnout liability in 2025 for $2 million, a $2 million increase due to acquired businesses, and a $2 million increase in expenses across several other categories.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from operations decreased in the first nine months of 2026 compared to the same period 2025 by $33 million, or 43%, due to the factors discussed above, as well as a $5 million decrease in the net gain on disposition and impairment of assets, which was comprised of a gain on the sale of machinery and equipment totaling $5 million in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Construction Segment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third quarter of 2026 increased 11% compared to the same period of 2025 due to a 7% increase in selling prices and a 4% increase in organic unit sales. We experienced organic unit sales increases of 20% in Commercial, 12% in Site Built, and 6% in Concrete-Forming. The increases were partially offset by a decrease of 10% in Factory Built due to weaker demand for manufactured housing and the loss of lower margin commodity business. The increase in Site Built is due to increased sales of light gauge metal and cladding, and higher wood component sales in the West.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remained flat in the third quarter of 2026 compared to the same period of 2025. The components of gross profit were as follows:</w:t>
      </w:r>
    </w:p>
    <w:p>
      <w:pPr>
        <w:spacing w:after="0" w:line="162" w:lineRule="exact"/>
        <w:rPr>
          <w:sz w:val="20"/>
          <w:szCs w:val="20"/>
          <w:color w:val="auto"/>
        </w:rPr>
      </w:pPr>
    </w:p>
    <w:p>
      <w:pPr>
        <w:ind w:left="680" w:right="20" w:hanging="324"/>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Commercial unit increased by $5 million due to sales growth and a decrease in material costs as a percentage of net sales as a result of mix improvements.</w:t>
      </w:r>
    </w:p>
    <w:p>
      <w:pPr>
        <w:spacing w:after="0" w:line="161" w:lineRule="exact"/>
        <w:rPr>
          <w:rFonts w:ascii="Times New Roman" w:cs="Times New Roman" w:eastAsia="Times New Roman" w:hAnsi="Times New Roman"/>
          <w:sz w:val="18"/>
          <w:szCs w:val="18"/>
          <w:color w:val="auto"/>
        </w:rPr>
      </w:pPr>
    </w:p>
    <w:p>
      <w:pPr>
        <w:ind w:left="680" w:hanging="324"/>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Factory-Built business unit increased by $1 million due to an improvement in mix to more value-added sales.</w:t>
      </w:r>
    </w:p>
    <w:p>
      <w:pPr>
        <w:spacing w:after="0" w:line="161" w:lineRule="exact"/>
        <w:rPr>
          <w:rFonts w:ascii="Times New Roman" w:cs="Times New Roman" w:eastAsia="Times New Roman" w:hAnsi="Times New Roman"/>
          <w:sz w:val="18"/>
          <w:szCs w:val="18"/>
          <w:color w:val="auto"/>
        </w:rPr>
      </w:pPr>
    </w:p>
    <w:p>
      <w:pPr>
        <w:ind w:left="680" w:right="20" w:hanging="324"/>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Concrete-Forming business unit remained flat as sales growth was offset by higher material and freight costs.</w:t>
      </w:r>
    </w:p>
    <w:p>
      <w:pPr>
        <w:sectPr>
          <w:pgSz w:w="11900" w:h="16838" w:orient="portrait"/>
          <w:cols w:equalWidth="0" w:num="1">
            <w:col w:w="9120"/>
          </w:cols>
          <w:pgMar w:left="1380" w:top="540" w:right="13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80" w:hanging="324"/>
        <w:spacing w:after="0" w:line="266"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Site-Built housing business unit decreased by $6 million, primarily due to higher material costs and competitive pricing pressure in our engineered wood components business because of continued weak demand for single-family housing due to affordability challenges and economic uncertainty.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increased by approximately $4 million, or 7%, in the third quarter of 2026 compared to the same period of 2025. The increase was a result of an increase in salaries, wages, and benefits of $2 million, bad debt expense of $1 million, and $1 million of increases in expenses across several other categories. Accrued bonus expense totaled $10 million for the quarter.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from operations decreased in the third quarter of 2026 compared to the same period of 2025 by $5 million, or 14%, due to the factors mentioned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first nine months of 2026 decreased 1% compared to the same period of 2025 and consisted of a 1% decrease in unit organic sales. Organic unit changes within this segment consisted of decreases of 7% in Factory Built and 2% in Site Built, partially offset by increases of 15% in Commercial and 8% in Concrete Forming.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decreased by $23 million, or 8%, for the first nine months of 2026 compared to the same period of 2025. The change in our gross profit was attributable to the following:</w:t>
      </w:r>
    </w:p>
    <w:p>
      <w:pPr>
        <w:spacing w:after="0" w:line="162" w:lineRule="exact"/>
        <w:rPr>
          <w:sz w:val="20"/>
          <w:szCs w:val="20"/>
          <w:color w:val="auto"/>
        </w:rPr>
      </w:pPr>
    </w:p>
    <w:p>
      <w:pPr>
        <w:jc w:val="both"/>
        <w:ind w:left="680" w:hanging="324"/>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Site-Built housing business unit decreased by $41 million, primarily due to weak demand and competitive pricing as housing starts have declined primarily due to affordability challenges and economic uncertainty.</w:t>
      </w:r>
    </w:p>
    <w:p>
      <w:pPr>
        <w:spacing w:after="0" w:line="175" w:lineRule="exact"/>
        <w:rPr>
          <w:rFonts w:ascii="Times New Roman" w:cs="Times New Roman" w:eastAsia="Times New Roman" w:hAnsi="Times New Roman"/>
          <w:sz w:val="18"/>
          <w:szCs w:val="18"/>
          <w:color w:val="auto"/>
        </w:rPr>
      </w:pPr>
    </w:p>
    <w:p>
      <w:pPr>
        <w:ind w:left="680" w:right="20" w:hanging="324"/>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Commercial business unit increased by $16 million due to higher volumes and productivity and mix improvements.</w:t>
      </w:r>
    </w:p>
    <w:p>
      <w:pPr>
        <w:spacing w:after="0" w:line="161"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Concrete-Forming business unit increased by $1 million due to an increase in unit sales.</w:t>
      </w:r>
    </w:p>
    <w:p>
      <w:pPr>
        <w:spacing w:after="0" w:line="225"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Factory-Built business unit increased by $1 million due to a shift toward value-added sales.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increased by approximately $4 million, or 2%, in the first nine months of 2026 compared to the same period of 2025. The increase was due to increases in salaries, wages, and benefits of $6 million, $1 million in professional fees, $1 million in travel expenses, and $2 million of increases across several other categories. The increase in SG&amp;A was partially offset by a $6 million decrease in accrued bonus expense, which totaled $25 million for the first nine months of 2026.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from operations decreased in the first nine months of 2026 compared to the same period of 2025 by $27 million, or 28%, due to the factors mentioned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 Other Segment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All Other reportable segment consists of our International and Ardellis (our insurance captive) segments that are not significant.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corporate segment consists of over (under) allocated costs that are not significant and net sales to external customers initiated by UFP Purchasing, UFP Transportation, and UFP Real Estate. In 2026 we modified our cost allocation methods to more closely approximate actual costs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23.7% in the third quarter of 2026 compared to 23.8% in the same period of 2025 and was 24.8% in the first nine months of 2026 compared to 22.9% for the same period in 2025. The slight decrease in our effective tax rate for the third quarter was primarily due to an increase in the benefit we recognized for tax credits, partially offset by a decrease in our tax deduction from stock-based compensation accounted for as a permanent difference. The increase in our effective tax rate for the first nine months of 2026 was primarily due to a decrease in our tax deduction from stock-based compensation accounted for as a permanent difference.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significant off-balance sheet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for the periods indicated, a summary of our cash flow statement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300" w:type="dxa"/>
            <w:vAlign w:val="bottom"/>
          </w:tcPr>
          <w:p>
            <w:pPr>
              <w:ind w:left="122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8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80"/>
        </w:trPr>
        <w:tc>
          <w:tcPr>
            <w:tcW w:w="20" w:type="dxa"/>
            <w:vAlign w:val="bottom"/>
          </w:tcPr>
          <w:p>
            <w:pPr>
              <w:spacing w:after="0"/>
              <w:rPr>
                <w:sz w:val="15"/>
                <w:szCs w:val="15"/>
                <w:color w:val="auto"/>
              </w:rPr>
            </w:pPr>
          </w:p>
        </w:tc>
        <w:tc>
          <w:tcPr>
            <w:tcW w:w="580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from operating activities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399,122</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(217,211)</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(352,045)</w:t>
            </w: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all cash and cash equivalents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(167,900)</w:t>
            </w: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925,071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1,179,594</w:t>
            </w:r>
          </w:p>
        </w:tc>
      </w:tr>
      <w:tr>
        <w:trPr>
          <w:trHeight w:val="216"/>
        </w:trPr>
        <w:tc>
          <w:tcPr>
            <w:tcW w:w="20" w:type="dxa"/>
            <w:vAlign w:val="bottom"/>
          </w:tcPr>
          <w:p>
            <w:pPr>
              <w:spacing w:after="0"/>
              <w:rPr>
                <w:sz w:val="18"/>
                <w:szCs w:val="18"/>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678,539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1,011,694</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general, we fund our growth through a combination of operating cash flows, our revolving credit facility, and issuance of long-term notes payable at times when interest rates are favorable. We have not issued equity to finance growth except in the case of a large acquisition that occurred many years ago.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due to our primary selling season which occurs during the period from March to September. Consequently, our working capital typically increases during our first and second quarters resulting in negative or modest cash flows from operations during those periods. Conversely, we tend to experience a substantial decrease in working capital once we move beyond our peak selling season which typically results in significant cash flows from operations in our third and fourth quarters.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seasonality of our business and the effects of the Lumber Market, we believe our cash cycle (days of sales outstanding plus days supply of inventory less days of payables outstanding) is a good indicator of our working capital management. As indicated in the table below, our cash cycle decreased to 63 days from 64 days during the third quarter of 2026 and increased to 62 days from 61 days during the first nine months of 2026 compared to the same periods of the prior year.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5"/>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Borders>
              <w:top w:val="single" w:sz="8" w:color="auto"/>
            </w:tcBorders>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Days of sales outstanding</w:t>
            </w:r>
          </w:p>
        </w:tc>
        <w:tc>
          <w:tcPr>
            <w:tcW w:w="1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1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Days supply of inventory</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Days of payables outstanding</w:t>
            </w: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Days in cash cycle</w:t>
            </w:r>
          </w:p>
        </w:tc>
        <w:tc>
          <w:tcPr>
            <w:tcW w:w="14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-599440</wp:posOffset>
            </wp:positionV>
            <wp:extent cx="57861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86120" cy="145415"/>
                    </a:xfrm>
                    <a:prstGeom prst="rect">
                      <a:avLst/>
                    </a:prstGeom>
                    <a:noFill/>
                  </pic:spPr>
                </pic:pic>
              </a:graphicData>
            </a:graphic>
          </wp:anchor>
        </w:drawing>
      </w:r>
    </w:p>
    <w:p>
      <w:pPr>
        <w:spacing w:after="0" w:line="178"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7"/>
          <w:szCs w:val="17"/>
          <w:color w:val="auto"/>
        </w:rPr>
        <w:t>The increase in our days supply of inventory for the first nine months of 2026 is due to slower inventory turns in our Retail segment as a result of an increase in safety stock and weaker than anticipated demand in the first quarter. Days supply of inventory normalized during the second and third quarters. We continue to focus on past due account balances with customers, and the percentage of our accounts receivable that are current was 94% at the end of the third quarter of 2026 and 2025.</w:t>
      </w:r>
    </w:p>
    <w:p>
      <w:pPr>
        <w:spacing w:after="0" w:line="164"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In the first nine months of 2026, our cash flows from operations were $235 million which consisted of net earnings of $193 million and $142 million of non-cash expenses, partially offset by a $100 million increase in working capital since the end of December 2025 due to seasonal demand. Our cash flows from operations decreased by $165 million compared to the same period of 2025 primarily due to the decline in our net earnings as well as the increase in our investment in net working capital since year end, which was $95 million higher in the first nine months of 2026 compared to the first nine months of 2025. We anticipate the seasonal increase in net working capital in 2026 will be converted to cash early in the fourth quarter.</w:t>
      </w:r>
    </w:p>
    <w:p>
      <w:pPr>
        <w:spacing w:after="0" w:line="187"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Purchases of property, plant, and equipment comprised $123 million of our cash used in investing activities during the first nine months of 2026. Outstanding purchase commitments on existing capital projects totaled approximately $159 million on September 26, 2026. Capital spending primarily consists of several projects to expand capacity to manufacture new and value-added products, primarily in our Packaging segment and Deckorators business units, to achieve efficiencies through automation in all segments, and make improvements to a number of facilities. We intend to fund capital expenditures and purchase commitments through our operating cash flows for the balance of the year. Cash used for acquisitions during the first nine months of 2026 totaled $123 million (refer to Note F to our unaudited interim condensed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financing activities during the first nine months of 2026 primarily consisted of the following:</w:t>
      </w:r>
    </w:p>
    <w:p>
      <w:pPr>
        <w:spacing w:after="0" w:line="225" w:lineRule="exact"/>
        <w:rPr>
          <w:sz w:val="20"/>
          <w:szCs w:val="20"/>
          <w:color w:val="auto"/>
        </w:rPr>
      </w:pPr>
    </w:p>
    <w:p>
      <w:pPr>
        <w:jc w:val="both"/>
        <w:ind w:left="720" w:right="40" w:hanging="324"/>
        <w:spacing w:after="0" w:line="25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2,250,939 shares of our common stock for $189 million during the first nine months of 2026 at an average price of $84.05 per share. Of this amount, 14,956 shares were repurchased in order to settle tax withholding obligations of long-term stock incentive plan participants’ awards upon vesting. These shares were purchased at an average price of $97.51 per share, totaling $1.5 million. Of the total shares repurchased, $183 million of the repurchases were settled in cash by September 26, 2026, and $6 million were accrued on September 26, 2026 and settled in fiscal October 2026.</w:t>
      </w:r>
    </w:p>
    <w:p>
      <w:pPr>
        <w:spacing w:after="0" w:line="187" w:lineRule="exact"/>
        <w:rPr>
          <w:rFonts w:ascii="Times New Roman" w:cs="Times New Roman" w:eastAsia="Times New Roman" w:hAnsi="Times New Roman"/>
          <w:sz w:val="18"/>
          <w:szCs w:val="18"/>
          <w:color w:val="auto"/>
        </w:rPr>
      </w:pPr>
    </w:p>
    <w:p>
      <w:pPr>
        <w:ind w:left="720" w:right="40" w:hanging="324"/>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during the first nine months of 2026 were $60 million. The quarterly dividend of $0.36 per share represents a 3% increase from the quarterly dividend of $0.35 per share paid in 2025.</w:t>
      </w:r>
    </w:p>
    <w:p>
      <w:pPr>
        <w:spacing w:after="0" w:line="162"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On September 26, 2026, we had no amount outstanding on our $750 million revolving credit facility, and we had approximately $708 million in remaining availability after considering $42 million in outstanding letters of credit under the revolving credit facility. Financial covenants on the unsecured revolving credit facility and unsecured notes include minimum interest tests and a maximum leverage ratio. The agreements also restrict the amount of additional indebtedness we may incur and the amount of assets that may be sold. We were in compliance with all of our covenant requirements as of September 26, 2026. In October 2026, we extended the maturity of our revolving credit facility for an additional five-year term (see Note K, “Subsequent Events”).</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At the end of the third quarter of 2026, we had approximately $2.0 billion in total liquidity, consisting of our cash, remaining availability under our revolving credit facility, and a shelf agreement with certain lenders providing up to $575 million in remaining borrowing capacity.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60"/>
          </w:cols>
          <w:pgMar w:left="1380" w:top="540" w:right="1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CONSIDERATIONS AND REGULATIONS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Notes to Unaudited Interim Condensed Consolidated Financial Statements, Note E, “Commitments, Contingencies, and Guarantees.”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27,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FORWARD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u w:val="single" w:color="auto"/>
          <w:color w:val="auto"/>
        </w:rPr>
        <w:t>long-term</w:t>
      </w:r>
      <w:r>
        <w:rPr>
          <w:rFonts w:ascii="Times New Roman" w:cs="Times New Roman" w:eastAsia="Times New Roman" w:hAnsi="Times New Roman"/>
          <w:sz w:val="18"/>
          <w:szCs w:val="18"/>
          <w:color w:val="auto"/>
        </w:rPr>
        <w:t xml:space="preserve"> financial goals include:</w:t>
      </w:r>
    </w:p>
    <w:p>
      <w:pPr>
        <w:spacing w:after="0" w:line="117" w:lineRule="exact"/>
        <w:rPr>
          <w:sz w:val="20"/>
          <w:szCs w:val="20"/>
          <w:color w:val="auto"/>
        </w:rPr>
      </w:pPr>
    </w:p>
    <w:p>
      <w:pPr>
        <w:ind w:left="680" w:right="140" w:hanging="324"/>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annual unit sales by 7 to 10 percent (including smaller tuck-in acquisitions) with at least 10 percent of all sales coming from new products;</w:t>
      </w:r>
    </w:p>
    <w:p>
      <w:pPr>
        <w:spacing w:after="0" w:line="53" w:lineRule="exact"/>
        <w:rPr>
          <w:rFonts w:ascii="Times New Roman" w:cs="Times New Roman" w:eastAsia="Times New Roman" w:hAnsi="Times New Roman"/>
          <w:sz w:val="18"/>
          <w:szCs w:val="18"/>
          <w:color w:val="auto"/>
        </w:rPr>
      </w:pPr>
    </w:p>
    <w:p>
      <w:pPr>
        <w:ind w:left="680" w:right="60" w:hanging="324"/>
        <w:spacing w:after="0" w:line="266"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sustaining a 12.5 percent adjusted EBITDA margin by continuing to enhance our capabilities and grow our portfolio and sales of value-added products, expanding geographically in our higher margin business units, and achieving operating improvements;</w:t>
      </w:r>
    </w:p>
    <w:p>
      <w:pPr>
        <w:spacing w:after="0" w:line="67"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 an incremental return on new investment over our hurdle rate of 15 percent; and</w:t>
      </w:r>
    </w:p>
    <w:p>
      <w:pPr>
        <w:spacing w:after="0" w:line="117"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conservative capital structure.</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believe improvements in demand in the end markets we serve and effectively executing our strategies will allow us to achieve our long-term goals. However, in the short-term, demand in our markets has contracted due to a variety of macro-economic and geopolitical factors, which will continue to impact our results and vary depending on the severity and duration of this cycle. As a result of these more challenging conditions, we have developed and are executing plans to reduce or eliminate capacity at locations that are not meeting our profitability targets and reduce our SG&amp;A costs. At the beginning of 2025, we announced that our goal through these actions was to improve our operating profits by $60 million by the end of 2026. We are on track to meet or exceed this goal by year end. Additionally, we anticipate:</w:t>
      </w:r>
    </w:p>
    <w:p>
      <w:pPr>
        <w:spacing w:after="0" w:line="81" w:lineRule="exact"/>
        <w:rPr>
          <w:sz w:val="20"/>
          <w:szCs w:val="20"/>
          <w:color w:val="auto"/>
        </w:rPr>
      </w:pPr>
    </w:p>
    <w:p>
      <w:pPr>
        <w:ind w:left="680" w:right="40" w:hanging="324"/>
        <w:spacing w:after="0" w:line="261"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SG&amp;A will be approximately $572 million for the year. In addition, we anticipate sales incentives will be 4% of gross profit (3% of gross profit in 2025), bonus expense will range from 17% to 18% of pre-bonus operating profits (17% of pre-bonus operating profits in 2025), and vesting expense associated with incentive shares granted in prior years will total $22 million ($28 million in 2025).</w:t>
      </w:r>
    </w:p>
    <w:p>
      <w:pPr>
        <w:spacing w:after="0" w:line="71"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amortization and other non-cash expenses will be approximately $202 million for the year.</w:t>
      </w:r>
    </w:p>
    <w:p>
      <w:pPr>
        <w:spacing w:after="0" w:line="117"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effective tax rate between 25% and 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factors should be considered when evaluating our future sales and gross profit:</w:t>
      </w:r>
    </w:p>
    <w:p>
      <w:pPr>
        <w:spacing w:after="0" w:line="117" w:lineRule="exact"/>
        <w:rPr>
          <w:sz w:val="20"/>
          <w:szCs w:val="20"/>
          <w:color w:val="auto"/>
        </w:rPr>
      </w:pPr>
    </w:p>
    <w:p>
      <w:pPr>
        <w:ind w:left="680" w:hanging="324"/>
        <w:spacing w:after="0" w:line="256"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lumber prices will remain near current levels, and experience typical seasonal trends, until there is a substantial change in the balance of supply and demand. Transportation constraints may also cause lumber prices to remain elevated, mitigating a typical decline in prices as the peak selling season comes to an end. In the event new tariffs are enacted on imports, we anticipate lumber prices will increase accordingly. We believe we are currently in a strong position to adapt quickly to new tariffs without adverse financial impact after a short adjustment period. Approximately 84% of our purchases of lumber are from domestic sources.</w:t>
      </w:r>
    </w:p>
    <w:p>
      <w:pPr>
        <w:spacing w:after="0" w:line="79" w:lineRule="exact"/>
        <w:rPr>
          <w:rFonts w:ascii="Times New Roman" w:cs="Times New Roman" w:eastAsia="Times New Roman" w:hAnsi="Times New Roman"/>
          <w:sz w:val="18"/>
          <w:szCs w:val="18"/>
          <w:color w:val="auto"/>
        </w:rPr>
      </w:pPr>
    </w:p>
    <w:p>
      <w:pPr>
        <w:ind w:left="680" w:right="60" w:hanging="324"/>
        <w:spacing w:after="0" w:line="258"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macroeconomic and geopolitical events and capacity constraints in the flatbed carrier market have resulted in an increase in certain of our input and transportation costs. We anticipate that these costs will remain elevated for the foreseeable future. While our intention and operating practices are to pass these costs on to customers in our pricing, there are a variety of factors beyond our control that may impact our ability to be successful in these efforts.</w:t>
      </w:r>
    </w:p>
    <w:p>
      <w:pPr>
        <w:sectPr>
          <w:pgSz w:w="11900" w:h="16838" w:orient="portrait"/>
          <w:cols w:equalWidth="0" w:num="1">
            <w:col w:w="9120"/>
          </w:cols>
          <w:pgMar w:left="1380" w:top="540" w:right="139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21" w:lineRule="exact"/>
        <w:rPr>
          <w:sz w:val="20"/>
          <w:szCs w:val="20"/>
          <w:color w:val="auto"/>
        </w:rPr>
      </w:pPr>
    </w:p>
    <w:p>
      <w:pPr>
        <w:ind w:left="680" w:right="40" w:hanging="324"/>
        <w:spacing w:after="0" w:line="253"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accounted for 39% of our net sales for the first nine months of 2026. When evaluating future demand for the segment, we analyze data such as the same-store sales growth of national home improvement retailers and forecasts of home remodeling activity. Based on this data, we currently anticipate market demand to be down low single digits for the remainder of 2026. We anticipate market growth and share gains in our composite decking and railing products will contribute approximately $80 million of sales growth in our Deckorators business unit in 2026. This is below our original $100 million goal, reflecting anticipated market share growth in railing products that did not materialize and loss of a small railing customer. Market share growth within railing products remains a key objective for 2027 supported by the recent launch of our Align Aluminum Railing and Drop Lock technology. Our current backlog of ordered but unshipped Surestone™ decking is approximately $18 million as we continue to make progress optimizing capacity. We anticipate recent investments in equipment to improve the manufacturing throughput and lower the cost of our Surestone™ decking products will result in margin improvements in those products in future quarters as new capacity is optimized and once the higher cost inventory is sold.</w:t>
      </w:r>
    </w:p>
    <w:p>
      <w:pPr>
        <w:spacing w:after="0" w:line="81" w:lineRule="exact"/>
        <w:rPr>
          <w:rFonts w:ascii="Times New Roman" w:cs="Times New Roman" w:eastAsia="Times New Roman" w:hAnsi="Times New Roman"/>
          <w:sz w:val="18"/>
          <w:szCs w:val="18"/>
          <w:color w:val="auto"/>
        </w:rPr>
      </w:pPr>
    </w:p>
    <w:p>
      <w:pPr>
        <w:ind w:left="680" w:right="340" w:hanging="324"/>
        <w:spacing w:after="0" w:line="258"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sales accounted for 26% of our net sales for the first nine months of 2026. When evaluating future demand, we consider a number of metrics, including the Purchasing Managers Index (PMI), durable goods manufacturing, and U.S. real GDP. We currently believe overall demand in the markets we serve to be down low single digits for the remainder of 2026, primarily due to softening demand in our PalletOne business unit. We anticipate share gains in each of our business units will help mitigate weaker demand.</w:t>
      </w:r>
    </w:p>
    <w:p>
      <w:pPr>
        <w:spacing w:after="0" w:line="75"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sales accounted for 30% of our net sales for the first nine months of 2026.</w:t>
      </w:r>
    </w:p>
    <w:p>
      <w:pPr>
        <w:spacing w:after="0" w:line="117" w:lineRule="exact"/>
        <w:rPr>
          <w:rFonts w:ascii="Times New Roman" w:cs="Times New Roman" w:eastAsia="Times New Roman" w:hAnsi="Times New Roman"/>
          <w:sz w:val="18"/>
          <w:szCs w:val="18"/>
          <w:color w:val="auto"/>
        </w:rPr>
      </w:pPr>
    </w:p>
    <w:p>
      <w:pPr>
        <w:jc w:val="both"/>
        <w:ind w:left="1320" w:hanging="316"/>
        <w:spacing w:after="0" w:line="253" w:lineRule="auto"/>
        <w:tabs>
          <w:tab w:leader="none" w:pos="13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Site-Built business unit accounted for approximately 10% of our net sales for the first nine months of 2026. Approximately one-third of site-built customers are multifamily builders. The industry consensus estimate of national housing starts for 2026 is 1.34 million, with estimates generally predicting mid-single digit to high-single digit declines and multi-family showing weaker performance compared to single-family. We anticipate demand in the regions we operate to be down mid-single digits for the remainder of 2026. Despite the weak near-term demand outlook, our backlog has increased as a result of several newly awarded projects for which contracts are in place, with projected margins generally consistent with those of other recent projects. As of September 26, 2026 and September 27, 2025, we estimate that our backlog of orders in our Site-Built housing business unit were $117 million and $53 million, respectively. The increase was primarily related to multi-family projects in the Northeast.</w:t>
      </w:r>
    </w:p>
    <w:p>
      <w:pPr>
        <w:spacing w:after="0" w:line="194" w:lineRule="exact"/>
        <w:rPr>
          <w:rFonts w:ascii="Times New Roman" w:cs="Times New Roman" w:eastAsia="Times New Roman" w:hAnsi="Times New Roman"/>
          <w:sz w:val="18"/>
          <w:szCs w:val="18"/>
          <w:color w:val="auto"/>
        </w:rPr>
      </w:pPr>
    </w:p>
    <w:p>
      <w:pPr>
        <w:ind w:left="1320" w:right="180" w:hanging="316"/>
        <w:spacing w:after="0" w:line="261" w:lineRule="auto"/>
        <w:tabs>
          <w:tab w:leader="none" w:pos="13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Factory-Built housing business unit accounted for 12% of our net sales for the first nine months of 2026. When evaluating future demand, we analyze data from production and shipments of manufactured housing. Year to date industry production is down 4%. We currently believe overall demand will be down low to mid-single digits for the remainder of 2026.</w:t>
      </w:r>
    </w:p>
    <w:p>
      <w:pPr>
        <w:spacing w:after="0" w:line="71" w:lineRule="exact"/>
        <w:rPr>
          <w:rFonts w:ascii="Times New Roman" w:cs="Times New Roman" w:eastAsia="Times New Roman" w:hAnsi="Times New Roman"/>
          <w:sz w:val="18"/>
          <w:szCs w:val="18"/>
          <w:color w:val="auto"/>
        </w:rPr>
      </w:pPr>
    </w:p>
    <w:p>
      <w:pPr>
        <w:ind w:left="1320" w:right="80" w:hanging="316"/>
        <w:spacing w:after="0" w:line="261" w:lineRule="auto"/>
        <w:tabs>
          <w:tab w:leader="none" w:pos="13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Concrete Forming business units accounted for approximately 8% of our net sales for the first nine months of 2026. When evaluating future demand, we analyze data from non-residential construction spending. We anticipate modest growth in overall demand of these business units for the remainder of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Allocation:</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the strength of our cash flow generation and conservative capital structure provide us with sufficient resources to grow our business and also fund returns to our shareholders. We plan to continue to pursue a balanced and return-driven approach to capital allocation across dividends, share buybacks, capital investments and acquisitions.</w:t>
      </w:r>
    </w:p>
    <w:p>
      <w:pPr>
        <w:spacing w:after="0" w:line="68" w:lineRule="exact"/>
        <w:rPr>
          <w:sz w:val="20"/>
          <w:szCs w:val="20"/>
          <w:color w:val="auto"/>
        </w:rPr>
      </w:pPr>
    </w:p>
    <w:p>
      <w:pPr>
        <w:ind w:left="680" w:right="160" w:hanging="324"/>
        <w:spacing w:after="0" w:line="261"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21, 2026, our board approved a quarterly cash dividend of $0.36 per share, which represents a 3% increase from the 2025 dividend rate. This dividend is payable on December 15, 2026, to shareholders of record on December 1, 2026. We continue to consider our payout ratio and yield when determining the appropriate dividend rate and have a long-term objective of increasing our dividend in line with our earnings growth.</w:t>
      </w:r>
    </w:p>
    <w:p>
      <w:pPr>
        <w:spacing w:after="0" w:line="71" w:lineRule="exact"/>
        <w:rPr>
          <w:rFonts w:ascii="Times New Roman" w:cs="Times New Roman" w:eastAsia="Times New Roman" w:hAnsi="Times New Roman"/>
          <w:sz w:val="18"/>
          <w:szCs w:val="18"/>
          <w:color w:val="auto"/>
        </w:rPr>
      </w:pPr>
    </w:p>
    <w:p>
      <w:pPr>
        <w:ind w:left="680" w:right="20" w:hanging="324"/>
        <w:spacing w:after="0" w:line="256"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29, 2026, our board authorized the repurchase of up to $300 million worth of our shares through April 30, 2027. This share authorization supersedes and replaces our prior share repurchase authorizations. Our objective is to repurchase our stock at sufficient amounts to offset issuances under our share-based compensation plans. In addition, we will allocate more of our free cash flow to opportunistically buy shares when the price trades at pre-determined levels we believe are at a significant discount to intrinsic value. Through November 4, 2026, we have approximately $191 million of remaining availability under this authorization.</w:t>
      </w:r>
    </w:p>
    <w:p>
      <w:pPr>
        <w:sectPr>
          <w:pgSz w:w="11900" w:h="16838" w:orient="portrait"/>
          <w:cols w:equalWidth="0" w:num="1">
            <w:col w:w="9120"/>
          </w:cols>
          <w:pgMar w:left="1380" w:top="540" w:right="139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21" w:lineRule="exact"/>
        <w:rPr>
          <w:sz w:val="20"/>
          <w:szCs w:val="20"/>
          <w:color w:val="auto"/>
        </w:rPr>
      </w:pPr>
    </w:p>
    <w:p>
      <w:pPr>
        <w:ind w:left="680" w:right="120" w:hanging="324"/>
        <w:spacing w:after="0" w:line="255"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targeted range for capital expenditures for 2026 is $150 to $175 million and will continue to be impacted by extended lead times required for most equipment and rolling stock as well as the time required for site selection in the case of investments in new locations. Priority continues to be given to projects that enhance the working environments of our plants, take advantage of automation opportunities, and drive strategies that have strong long-term growth potential for new and value-added products. Certain planned capital projects have been canceled as we evaluated acquisition opportunities as an alternative means of adding capacity rather than investing in greenfield operations.</w:t>
      </w:r>
    </w:p>
    <w:p>
      <w:pPr>
        <w:spacing w:after="0" w:line="80" w:lineRule="exact"/>
        <w:rPr>
          <w:rFonts w:ascii="Times New Roman" w:cs="Times New Roman" w:eastAsia="Times New Roman" w:hAnsi="Times New Roman"/>
          <w:sz w:val="18"/>
          <w:szCs w:val="18"/>
          <w:color w:val="auto"/>
        </w:rPr>
      </w:pPr>
    </w:p>
    <w:p>
      <w:pPr>
        <w:ind w:left="680" w:right="120" w:hanging="324"/>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pursue a healthy pipeline of acquisition opportunities of companies that are a strong strategic fit and enhance our capabilities while providing higher margin, return, and growth potential.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our variable rate debt, which consists of a revolving credit facility and industrial development revenue bonds. We do not enter into any material interest rate swaps, futures contracts or options on futures, or other types of derivative financial instruments to mitigate this risk.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exposures from those disclosed in Item 7A of our Annual Report on Form 10-K for the fiscal year ended December 27,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are required to refinance it.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tariffs and trade policies,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cost of materials, and gross profit. (See “Impact of the Lumber Market on Our Operating Results”).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may enter into forward foreign exchange rate contracts in the future to mitigate foreign currency exchange risk. Historically, our hedge contracts have been immaterial to the financial statements.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840" w:hanging="322"/>
        <w:spacing w:after="0" w:line="258" w:lineRule="auto"/>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With the participation of management, our Chief Executive Officer and Chief Financial Officer, after evaluating the effectiveness of our disclosure controls and procedures (as defined in SEC Rules 13a–15(e) and 15d–15(e)) in the manner required by SEC Rule 13a-15(b) and 15d-15(b), have concluded that our disclosure controls and procedures were effective as of the end of the period covered by this report.</w:t>
      </w:r>
    </w:p>
    <w:p>
      <w:pPr>
        <w:spacing w:after="0" w:line="183" w:lineRule="exact"/>
        <w:rPr>
          <w:rFonts w:ascii="Times New Roman" w:cs="Times New Roman" w:eastAsia="Times New Roman" w:hAnsi="Times New Roman"/>
          <w:sz w:val="18"/>
          <w:szCs w:val="18"/>
          <w:color w:val="auto"/>
        </w:rPr>
      </w:pPr>
    </w:p>
    <w:p>
      <w:pPr>
        <w:jc w:val="both"/>
        <w:ind w:left="840" w:hanging="322"/>
        <w:spacing w:after="0" w:line="266" w:lineRule="auto"/>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Controls</w:t>
      </w:r>
      <w:r>
        <w:rPr>
          <w:rFonts w:ascii="Times New Roman" w:cs="Times New Roman" w:eastAsia="Times New Roman" w:hAnsi="Times New Roman"/>
          <w:sz w:val="18"/>
          <w:szCs w:val="18"/>
          <w:color w:val="auto"/>
        </w:rPr>
        <w:t>. During the quarter ended September 26, 2026,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Risk Factors of our Annual Report on Form 10-K for the year ended December 27, 2025, as updated by Part II - Item 1A Risk Factors of our Quarterly Reports on Form 10-Q for the quarter ended March 28,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Director Compensation Plan</w:t>
      </w:r>
    </w:p>
    <w:p>
      <w:pPr>
        <w:spacing w:after="0" w:line="227" w:lineRule="exact"/>
        <w:rPr>
          <w:sz w:val="20"/>
          <w:szCs w:val="20"/>
          <w:color w:val="auto"/>
        </w:rPr>
      </w:pPr>
    </w:p>
    <w:p>
      <w:pPr>
        <w:ind w:left="840" w:right="80" w:hanging="322"/>
        <w:spacing w:after="0" w:line="256"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annual retainer payable to each of our non-employee directors (such portion for each director is $135,000 for 2026) is paid in shares of our common stock. The retainer is deemed earned in equal quarterly installments on February 1, May 1, August 1, and November 1. We use the market price per share on each such installment date (or the preceding day if there were no trades on that installment date) to determine the number of shares issuable to each non-employee director, and except as described below, the shares are issued to the director within five business days.</w:t>
      </w:r>
    </w:p>
    <w:p>
      <w:pPr>
        <w:spacing w:after="0" w:line="187" w:lineRule="exact"/>
        <w:rPr>
          <w:sz w:val="20"/>
          <w:szCs w:val="20"/>
          <w:color w:val="auto"/>
        </w:rPr>
      </w:pPr>
    </w:p>
    <w:p>
      <w:pPr>
        <w:ind w:left="820" w:right="40"/>
        <w:spacing w:after="0" w:line="253" w:lineRule="auto"/>
        <w:rPr>
          <w:sz w:val="20"/>
          <w:szCs w:val="20"/>
          <w:color w:val="auto"/>
        </w:rPr>
      </w:pPr>
      <w:r>
        <w:rPr>
          <w:rFonts w:ascii="Times New Roman" w:cs="Times New Roman" w:eastAsia="Times New Roman" w:hAnsi="Times New Roman"/>
          <w:sz w:val="18"/>
          <w:szCs w:val="18"/>
          <w:color w:val="auto"/>
        </w:rPr>
        <w:t>We maintain a Director Compensation Plan (the “Plan”) pursuant to which non-employee directors can elect to (1) receive shares of our common stock, on a deferred basis, in lieu of all or a portion of the annual retainer payable to the director in cash (which deferred cash is used to purchase our common stock on a deferred basis at the rate of 110% of the deferred cash amount), and/or (2) defer receipt of all or a portion of the annual retainer payable to the director in the form of our common stock. Any shares of common stock issuable to a director on a deferred basis pursuant to the Plan are not actually issued until the deferred payment date specified pursuant to the Plan, which is typically after a director’s retirement from the Board. However, on the date such shares are deemed earned by the director, we issue deferred stock units (“DSUs”) to a bookkeeping account for each director to represent the shares issuable in the future pursuant to the Plan. Directors who have DSUs credited to their account pursuant to the Plan receive additional DSUs credited to their account whenever a dividend is paid on the Company’s common stock.</w:t>
      </w:r>
    </w:p>
    <w:p>
      <w:pPr>
        <w:spacing w:after="0" w:line="194" w:lineRule="exact"/>
        <w:rPr>
          <w:sz w:val="20"/>
          <w:szCs w:val="20"/>
          <w:color w:val="auto"/>
        </w:rPr>
      </w:pPr>
    </w:p>
    <w:p>
      <w:pPr>
        <w:ind w:left="820" w:right="20"/>
        <w:spacing w:after="0" w:line="258" w:lineRule="auto"/>
        <w:rPr>
          <w:sz w:val="20"/>
          <w:szCs w:val="20"/>
          <w:color w:val="auto"/>
        </w:rPr>
      </w:pPr>
      <w:r>
        <w:rPr>
          <w:rFonts w:ascii="Times New Roman" w:cs="Times New Roman" w:eastAsia="Times New Roman" w:hAnsi="Times New Roman"/>
          <w:sz w:val="18"/>
          <w:szCs w:val="18"/>
          <w:color w:val="auto"/>
        </w:rPr>
        <w:t>On August 3, 2026, the Company issued 1,177 shares of its common stock to non-employee directors as part of the annual retainer payable to directors in stock (i.e., shares that were issued on a current basis and not deferred pursuant to the Plan). The Company issued all shares described in this paragraph pursuant to an exemption from registration under Section 4(a)(2) of the Securities Act of 1933 due to the fact that the issuance of the shares was made on a private basis pursuant to the Plan.</w:t>
      </w:r>
    </w:p>
    <w:p>
      <w:pPr>
        <w:spacing w:after="0" w:line="18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227" w:lineRule="exact"/>
        <w:rPr>
          <w:sz w:val="20"/>
          <w:szCs w:val="20"/>
          <w:color w:val="auto"/>
        </w:rPr>
      </w:pPr>
    </w:p>
    <w:p>
      <w:pPr>
        <w:ind w:left="820" w:right="80"/>
        <w:spacing w:after="0" w:line="271" w:lineRule="auto"/>
        <w:rPr>
          <w:sz w:val="20"/>
          <w:szCs w:val="20"/>
          <w:color w:val="auto"/>
        </w:rPr>
      </w:pPr>
      <w:r>
        <w:rPr>
          <w:rFonts w:ascii="Times New Roman" w:cs="Times New Roman" w:eastAsia="Times New Roman" w:hAnsi="Times New Roman"/>
          <w:sz w:val="17"/>
          <w:szCs w:val="17"/>
          <w:color w:val="auto"/>
        </w:rPr>
        <w:t>We maintain a Deferred Compensation Plan (the “DCP”) which allows key employees to defer a portion of their salary and/or cash incentive compensation. Participants in the DCP may elect to invest the deferred amounts in certain investment alternatives, including our common stock. Also, under the DCP, if a key employee’s ownership of our common stock is below certain targeted thresholds, the amount of deferral must be used to invest in shares of our common stock. All amounts deferred to the DCP that are invested in our common stock are invested at a price per share representing a 15% discount to the prevailing market price of our stock. In general, each employee receives a payout of his or her DCP account one year from the date he or she terminates employment with the Company, unless termination of employment is due to retirement, death or change in control, in which case the employee or his or her beneficiary may receive the distribution earlier, subject to DCP provisions.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21" w:lineRule="exact"/>
        <w:rPr>
          <w:sz w:val="20"/>
          <w:szCs w:val="20"/>
          <w:color w:val="auto"/>
        </w:rPr>
      </w:pPr>
    </w:p>
    <w:p>
      <w:pPr>
        <w:ind w:left="820"/>
        <w:spacing w:after="0" w:line="256" w:lineRule="auto"/>
        <w:rPr>
          <w:sz w:val="20"/>
          <w:szCs w:val="20"/>
          <w:color w:val="auto"/>
        </w:rPr>
      </w:pPr>
      <w:r>
        <w:rPr>
          <w:rFonts w:ascii="Times New Roman" w:cs="Times New Roman" w:eastAsia="Times New Roman" w:hAnsi="Times New Roman"/>
          <w:sz w:val="18"/>
          <w:szCs w:val="18"/>
          <w:color w:val="auto"/>
        </w:rPr>
        <w:t>The Company issued all shares described in this paragraph pursuant to an exemption under Section 4(a)(2) of the Securities Act of 1933 due to the fact that the issuance of the shares was made on a private basis pursuant to the DCP. On February 19, 2026, we issued a total of 61,748 shares to employees who elected to defer a portion of their annual incentive bonus into our common stock. In addition, shares were issued on the respective employees’ last payroll dates in each month. During 2026 we issued 30,422 shares to employees who elected to defer a portion of their salaries into our common stock, which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4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38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Date issued</w:t>
            </w:r>
          </w:p>
        </w:tc>
        <w:tc>
          <w:tcPr>
            <w:tcW w:w="4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29, 2026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January 30, 2026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26, 2026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26, 2026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March 28, 2026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 2026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April 30, 2026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28, 2026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May 29, 2026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25, 2026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June 27, 2026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30, 2026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July 31, 2026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27, 2026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August 31, 2026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24, 2026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September 26, 2026</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common stock shares issued</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(b) N/A.</w:t>
            </w: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3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  Issuer purchases of equity securities.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Month</w:t>
            </w:r>
          </w:p>
        </w:tc>
        <w:tc>
          <w:tcPr>
            <w:tcW w:w="240" w:type="dxa"/>
            <w:vAlign w:val="bottom"/>
          </w:tcPr>
          <w:p>
            <w:pPr>
              <w:spacing w:after="0"/>
              <w:rPr>
                <w:sz w:val="24"/>
                <w:szCs w:val="24"/>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(1)</w:t>
            </w:r>
          </w:p>
        </w:tc>
        <w:tc>
          <w:tcPr>
            <w:tcW w:w="72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   (2)</w:t>
            </w:r>
          </w:p>
        </w:tc>
        <w:tc>
          <w:tcPr>
            <w:tcW w:w="40" w:type="dxa"/>
            <w:vAlign w:val="bottom"/>
          </w:tcPr>
          <w:p>
            <w:pPr>
              <w:spacing w:after="0"/>
              <w:rPr>
                <w:sz w:val="24"/>
                <w:szCs w:val="24"/>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(3)</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28 - August 1, 2026</w:t>
            </w:r>
          </w:p>
        </w:tc>
        <w:tc>
          <w:tcPr>
            <w:tcW w:w="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125,769</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$ 83.08</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125,769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273,419</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2 - 29, 2026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18,821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271,821</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30 - September 26, 2026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436,579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436,579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236,531</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Note: July includes 769 shares tendered by employees of the Company (and repurchased by the Company) in order to satisfy their respective tax withholding obligations resulting from the vesting of restricted stock awards. The Company treats these share repurchases against its board-approved share repurchase authorizations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wp:posOffset>
            </wp:positionV>
            <wp:extent cx="1448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161" w:lineRule="exact"/>
        <w:rPr>
          <w:sz w:val="20"/>
          <w:szCs w:val="20"/>
          <w:color w:val="auto"/>
        </w:rPr>
      </w:pPr>
    </w:p>
    <w:p>
      <w:pPr>
        <w:ind w:left="320" w:hanging="315"/>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w:t>
      </w:r>
    </w:p>
    <w:p>
      <w:pPr>
        <w:spacing w:after="0" w:line="27"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w:t>
      </w:r>
    </w:p>
    <w:p>
      <w:pPr>
        <w:spacing w:after="0" w:line="9"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 as part of publicly announced plans or programs.</w:t>
      </w:r>
    </w:p>
    <w:p>
      <w:pPr>
        <w:spacing w:after="0" w:line="9"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 dollar value of shares that may yet be purchased under the plans or programs (in thousands).</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and effective May 29, 2026, our board authorized the repurchase of up to $300 million worth of shares of our common stock through the period ending April 30, 2027. The authorization supersedes and replaces prior authorizations.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26, 2026, no director or officer adopted, modified, or terminated a “Rule 10b5-1 trading arrangement” or a “non-Rule 10b5-1 trading arrangement,” as each term is defined in Item 408(a) of Regulation S-K.</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40" w:right="1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exhibits (listed by number corresponding to the Exhibit Table as Item 601 in Regulation S-K) are filed with this report:</w:t>
      </w:r>
    </w:p>
    <w:p>
      <w:pPr>
        <w:spacing w:after="0" w:line="175" w:lineRule="exact"/>
        <w:rPr>
          <w:sz w:val="20"/>
          <w:szCs w:val="20"/>
          <w:color w:val="auto"/>
        </w:rPr>
      </w:pPr>
    </w:p>
    <w:p>
      <w:pPr>
        <w:ind w:left="520" w:hanging="515"/>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225" w:lineRule="exact"/>
        <w:rPr>
          <w:rFonts w:ascii="Times New Roman" w:cs="Times New Roman" w:eastAsia="Times New Roman" w:hAnsi="Times New Roman"/>
          <w:sz w:val="18"/>
          <w:szCs w:val="18"/>
          <w:color w:val="auto"/>
        </w:rPr>
      </w:pPr>
    </w:p>
    <w:p>
      <w:pPr>
        <w:ind w:left="1120" w:hanging="602"/>
        <w:spacing w:after="0"/>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Form of Indemnity Agreement, as executed with all directors of the registrant</w:t>
      </w:r>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auto"/>
        </w:rPr>
      </w:pPr>
    </w:p>
    <w:p>
      <w:pPr>
        <w:ind w:left="520" w:hanging="515"/>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ind w:left="1120" w:right="40" w:hanging="602"/>
        <w:spacing w:after="0" w:line="282"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1120" w:right="40" w:hanging="602"/>
        <w:spacing w:after="0" w:line="282"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302 of the Sarbanes-Oxley Act of 2002 (18 U.S.C. 1350).</w:t>
      </w:r>
    </w:p>
    <w:p>
      <w:pPr>
        <w:spacing w:after="0" w:line="162" w:lineRule="exact"/>
        <w:rPr>
          <w:sz w:val="20"/>
          <w:szCs w:val="20"/>
          <w:color w:val="auto"/>
        </w:rPr>
      </w:pPr>
    </w:p>
    <w:p>
      <w:pPr>
        <w:ind w:left="520" w:hanging="515"/>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20" w:right="40" w:hanging="602"/>
        <w:spacing w:after="0" w:line="282" w:lineRule="auto"/>
        <w:tabs>
          <w:tab w:leader="none" w:pos="1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906 of the Sarbanes-Oxley Act of 2002 (18 U.S.C. 1350).</w:t>
      </w:r>
    </w:p>
    <w:p>
      <w:pPr>
        <w:spacing w:after="0" w:line="161" w:lineRule="exact"/>
        <w:rPr>
          <w:rFonts w:ascii="Times New Roman" w:cs="Times New Roman" w:eastAsia="Times New Roman" w:hAnsi="Times New Roman"/>
          <w:sz w:val="18"/>
          <w:szCs w:val="18"/>
          <w:color w:val="auto"/>
        </w:rPr>
      </w:pPr>
    </w:p>
    <w:p>
      <w:pPr>
        <w:ind w:left="1120" w:right="40" w:hanging="602"/>
        <w:spacing w:after="0" w:line="282" w:lineRule="auto"/>
        <w:tabs>
          <w:tab w:leader="none" w:pos="1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906 of the Sarbanes-Oxley Act of 2002 (18 U.S.C. 1350).</w:t>
      </w:r>
    </w:p>
    <w:p>
      <w:pPr>
        <w:spacing w:after="0" w:line="16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101</w:t>
        <w:tab/>
        <w:t>Interactive Data File formatted in iXBRL (Inline eXtensible Business Reporting Language).</w:t>
      </w:r>
    </w:p>
    <w:p>
      <w:pPr>
        <w:spacing w:after="0" w:line="225" w:lineRule="exact"/>
        <w:rPr>
          <w:sz w:val="20"/>
          <w:szCs w:val="20"/>
          <w:color w:val="auto"/>
        </w:rPr>
      </w:pPr>
    </w:p>
    <w:p>
      <w:pPr>
        <w:ind w:left="520"/>
        <w:spacing w:after="0"/>
        <w:tabs>
          <w:tab w:leader="none" w:pos="1100" w:val="left"/>
        </w:tabs>
        <w:rPr>
          <w:sz w:val="20"/>
          <w:szCs w:val="20"/>
          <w:color w:val="auto"/>
        </w:rPr>
      </w:pPr>
      <w:r>
        <w:rPr>
          <w:rFonts w:ascii="Times New Roman" w:cs="Times New Roman" w:eastAsia="Times New Roman" w:hAnsi="Times New Roman"/>
          <w:sz w:val="18"/>
          <w:szCs w:val="18"/>
          <w:color w:val="auto"/>
        </w:rPr>
        <w:t>(INS)</w:t>
      </w:r>
      <w:r>
        <w:rPr>
          <w:sz w:val="20"/>
          <w:szCs w:val="20"/>
          <w:color w:val="auto"/>
        </w:rPr>
        <w:tab/>
      </w:r>
      <w:r>
        <w:rPr>
          <w:rFonts w:ascii="Times New Roman" w:cs="Times New Roman" w:eastAsia="Times New Roman" w:hAnsi="Times New Roman"/>
          <w:sz w:val="17"/>
          <w:szCs w:val="17"/>
          <w:color w:val="auto"/>
        </w:rPr>
        <w:t>iXBRL Instance Document.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(SCH)  iXBRL Schema Document.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(CAL) iXBRL Taxonomy Extension Calculation Linkbase Document.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(LAB) iXBRL Taxonomy Extension Label Linkbase Document.</w:t>
      </w:r>
    </w:p>
    <w:p>
      <w:pPr>
        <w:spacing w:after="0" w:line="225" w:lineRule="exact"/>
        <w:rPr>
          <w:sz w:val="20"/>
          <w:szCs w:val="20"/>
          <w:color w:val="auto"/>
        </w:rPr>
      </w:pPr>
    </w:p>
    <w:p>
      <w:pPr>
        <w:ind w:left="520"/>
        <w:spacing w:after="0"/>
        <w:tabs>
          <w:tab w:leader="none" w:pos="1100" w:val="left"/>
        </w:tabs>
        <w:rPr>
          <w:sz w:val="20"/>
          <w:szCs w:val="20"/>
          <w:color w:val="auto"/>
        </w:rPr>
      </w:pPr>
      <w:r>
        <w:rPr>
          <w:rFonts w:ascii="Times New Roman" w:cs="Times New Roman" w:eastAsia="Times New Roman" w:hAnsi="Times New Roman"/>
          <w:sz w:val="18"/>
          <w:szCs w:val="18"/>
          <w:color w:val="auto"/>
        </w:rPr>
        <w:t>(PRE)</w:t>
      </w:r>
      <w:r>
        <w:rPr>
          <w:sz w:val="20"/>
          <w:szCs w:val="20"/>
          <w:color w:val="auto"/>
        </w:rPr>
        <w:tab/>
      </w:r>
      <w:r>
        <w:rPr>
          <w:rFonts w:ascii="Times New Roman" w:cs="Times New Roman" w:eastAsia="Times New Roman" w:hAnsi="Times New Roman"/>
          <w:sz w:val="17"/>
          <w:szCs w:val="17"/>
          <w:color w:val="auto"/>
        </w:rPr>
        <w:t>iXBRL Taxonomy Extension Presentation Linkbase Document.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  iXBRL Taxonomy Extension Definition Linkbase Document.</w:t>
      </w:r>
    </w:p>
    <w:p>
      <w:pPr>
        <w:spacing w:after="0" w:line="225" w:lineRule="exact"/>
        <w:rPr>
          <w:sz w:val="20"/>
          <w:szCs w:val="20"/>
          <w:color w:val="auto"/>
        </w:rPr>
      </w:pPr>
    </w:p>
    <w:p>
      <w:pPr>
        <w:ind w:left="520" w:hanging="515"/>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00"/>
          </w:cols>
          <w:pgMar w:left="1380" w:top="540" w:right="1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10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UFP INDUSTRIES, INC.</w:t>
            </w:r>
          </w:p>
        </w:tc>
      </w:tr>
      <w:tr>
        <w:trPr>
          <w:trHeight w:val="405"/>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19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 William D. Schwartz, Jr.</w:t>
            </w:r>
          </w:p>
        </w:tc>
      </w:tr>
      <w:tr>
        <w:trPr>
          <w:trHeight w:val="20"/>
        </w:trPr>
        <w:tc>
          <w:tcPr>
            <w:tcW w:w="178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r>
      <w:tr>
        <w:trPr>
          <w:trHeight w:val="178"/>
        </w:trPr>
        <w:tc>
          <w:tcPr>
            <w:tcW w:w="1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100" w:type="dxa"/>
            <w:vAlign w:val="bottom"/>
            <w:gridSpan w:val="2"/>
          </w:tcPr>
          <w:p>
            <w:pPr>
              <w:ind w:left="1240"/>
              <w:spacing w:after="0" w:line="178" w:lineRule="exact"/>
              <w:rPr>
                <w:sz w:val="20"/>
                <w:szCs w:val="20"/>
                <w:color w:val="auto"/>
              </w:rPr>
            </w:pPr>
            <w:r>
              <w:rPr>
                <w:rFonts w:ascii="Times New Roman" w:cs="Times New Roman" w:eastAsia="Times New Roman" w:hAnsi="Times New Roman"/>
                <w:sz w:val="18"/>
                <w:szCs w:val="18"/>
                <w:color w:val="auto"/>
              </w:rPr>
              <w:t>William D. Schwartz, Jr.,</w:t>
            </w:r>
          </w:p>
        </w:tc>
      </w:tr>
      <w:tr>
        <w:trPr>
          <w:trHeight w:val="216"/>
        </w:trPr>
        <w:tc>
          <w:tcPr>
            <w:tcW w:w="1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1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34"/>
        </w:trPr>
        <w:tc>
          <w:tcPr>
            <w:tcW w:w="1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1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05"/>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19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0"/>
        </w:trPr>
        <w:tc>
          <w:tcPr>
            <w:tcW w:w="178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r>
      <w:tr>
        <w:trPr>
          <w:trHeight w:val="178"/>
        </w:trPr>
        <w:tc>
          <w:tcPr>
            <w:tcW w:w="1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100" w:type="dxa"/>
            <w:vAlign w:val="bottom"/>
            <w:gridSpan w:val="2"/>
          </w:tcPr>
          <w:p>
            <w:pPr>
              <w:ind w:left="1240"/>
              <w:spacing w:after="0" w:line="178" w:lineRule="exact"/>
              <w:rPr>
                <w:sz w:val="20"/>
                <w:szCs w:val="20"/>
                <w:color w:val="auto"/>
              </w:rPr>
            </w:pPr>
            <w:r>
              <w:rPr>
                <w:rFonts w:ascii="Times New Roman" w:cs="Times New Roman" w:eastAsia="Times New Roman" w:hAnsi="Times New Roman"/>
                <w:sz w:val="18"/>
                <w:szCs w:val="18"/>
                <w:color w:val="auto"/>
              </w:rPr>
              <w:t>Michael R. Cole,</w:t>
            </w:r>
          </w:p>
        </w:tc>
      </w:tr>
      <w:tr>
        <w:trPr>
          <w:trHeight w:val="216"/>
        </w:trPr>
        <w:tc>
          <w:tcPr>
            <w:tcW w:w="1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1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1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1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1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1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864"/>
        </w:trPr>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44</w:t>
            </w:r>
          </w:p>
        </w:tc>
        <w:tc>
          <w:tcPr>
            <w:tcW w:w="4120" w:type="dxa"/>
            <w:vAlign w:val="bottom"/>
          </w:tcPr>
          <w:p>
            <w:pPr>
              <w:spacing w:after="0"/>
              <w:rPr>
                <w:sz w:val="24"/>
                <w:szCs w:val="24"/>
                <w:color w:val="auto"/>
              </w:rPr>
            </w:pPr>
          </w:p>
        </w:tc>
      </w:tr>
      <w:tr>
        <w:trPr>
          <w:trHeight w:val="561"/>
        </w:trPr>
        <w:tc>
          <w:tcPr>
            <w:tcW w:w="1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40" w:right="1399" w:bottom="1440" w:gutter="0" w:footer="0" w:header="0"/>
        </w:sectPr>
      </w:pPr>
    </w:p>
    <w:bookmarkStart w:id="44" w:name="page45"/>
    <w:bookmarkEnd w:id="44"/>
    <w:p>
      <w:pPr>
        <w:ind w:left="7800"/>
        <w:spacing w:after="0"/>
        <w:rPr>
          <w:sz w:val="20"/>
          <w:szCs w:val="20"/>
          <w:color w:val="auto"/>
        </w:rPr>
      </w:pPr>
      <w:r>
        <w:rPr>
          <w:rFonts w:ascii="Times New Roman" w:cs="Times New Roman" w:eastAsia="Times New Roman" w:hAnsi="Times New Roman"/>
          <w:sz w:val="17"/>
          <w:szCs w:val="17"/>
          <w:b w:val="1"/>
          <w:bCs w:val="1"/>
          <w:color w:val="auto"/>
        </w:rPr>
        <w:t>Exhibit 10(a)</w:t>
      </w:r>
    </w:p>
    <w:p>
      <w:pPr>
        <w:spacing w:after="0" w:line="2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INDEMNITY AGREEMENT</w:t>
      </w:r>
    </w:p>
    <w:p>
      <w:pPr>
        <w:spacing w:after="0" w:line="23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This INDEMNITY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effective as of July 23, 2026, is entered into by and between </w:t>
      </w:r>
      <w:r>
        <w:rPr>
          <w:rFonts w:ascii="Times New Roman" w:cs="Times New Roman" w:eastAsia="Times New Roman" w:hAnsi="Times New Roman"/>
          <w:sz w:val="22"/>
          <w:szCs w:val="22"/>
          <w:b w:val="1"/>
          <w:bCs w:val="1"/>
          <w:color w:val="auto"/>
        </w:rPr>
        <w:t>UFP Industries, Inc.</w:t>
      </w:r>
      <w:r>
        <w:rPr>
          <w:rFonts w:ascii="Times New Roman" w:cs="Times New Roman" w:eastAsia="Times New Roman" w:hAnsi="Times New Roman"/>
          <w:sz w:val="22"/>
          <w:szCs w:val="22"/>
          <w:color w:val="auto"/>
        </w:rPr>
        <w:t>, a Michigan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and __________________ (the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u w:val="single" w:color="auto"/>
          <w:color w:val="auto"/>
        </w:rPr>
        <w:t>Background</w:t>
      </w:r>
    </w:p>
    <w:p>
      <w:pPr>
        <w:spacing w:after="0" w:line="233" w:lineRule="exact"/>
        <w:rPr>
          <w:sz w:val="20"/>
          <w:szCs w:val="20"/>
          <w:color w:val="auto"/>
        </w:rPr>
      </w:pPr>
    </w:p>
    <w:p>
      <w:pPr>
        <w:jc w:val="both"/>
        <w:ind w:left="200" w:right="219" w:firstLine="657"/>
        <w:spacing w:after="0" w:line="235" w:lineRule="auto"/>
        <w:tabs>
          <w:tab w:leader="none" w:pos="14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of the Corporation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recognizes that uncertainties relating to statutory indemnification and the availability and coverage of adequate insurance have increased the difficulty of attracting and retaining competent and experienced persons as directors and executives. The Board has determined that it would be detrimental to the best interests of the Corporation’s shareholders if it were unable to attract and retain such persons as directors and executives and that the Corporation should act to assure them that they will be provided with adequate protection.</w:t>
      </w:r>
    </w:p>
    <w:p>
      <w:pPr>
        <w:spacing w:after="0" w:line="210" w:lineRule="exact"/>
        <w:rPr>
          <w:rFonts w:ascii="Times New Roman" w:cs="Times New Roman" w:eastAsia="Times New Roman" w:hAnsi="Times New Roman"/>
          <w:sz w:val="22"/>
          <w:szCs w:val="22"/>
          <w:color w:val="auto"/>
        </w:rPr>
      </w:pPr>
    </w:p>
    <w:p>
      <w:pPr>
        <w:jc w:val="both"/>
        <w:ind w:left="200" w:right="219" w:firstLine="657"/>
        <w:spacing w:after="0" w:line="235" w:lineRule="auto"/>
        <w:tabs>
          <w:tab w:leader="none" w:pos="14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has further concluded that, to retain and attract such persons as directors and executives and to encourage them to take business risks necessary for the success of the Corporation, and in light of potential limitations of liability insurance, it is reasonable, prudent, and necessary for the Corporation to obligate itself contractually to indemnify, hold harmless, and advance expenses on behalf of such persons to the fullest extent permitted by applicable law, so that they will serve or continue to serve the Corporation free from undue concern that they will not be so indemnified.</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29" w:lineRule="exact"/>
        <w:rPr>
          <w:sz w:val="20"/>
          <w:szCs w:val="20"/>
          <w:color w:val="auto"/>
        </w:rPr>
      </w:pPr>
    </w:p>
    <w:p>
      <w:pPr>
        <w:jc w:val="both"/>
        <w:ind w:left="200" w:right="239" w:firstLine="648"/>
        <w:spacing w:after="0" w:line="246" w:lineRule="auto"/>
        <w:rPr>
          <w:sz w:val="20"/>
          <w:szCs w:val="20"/>
          <w:color w:val="auto"/>
        </w:rPr>
      </w:pPr>
      <w:r>
        <w:rPr>
          <w:rFonts w:ascii="Times New Roman" w:cs="Times New Roman" w:eastAsia="Times New Roman" w:hAnsi="Times New Roman"/>
          <w:sz w:val="22"/>
          <w:szCs w:val="22"/>
          <w:color w:val="auto"/>
        </w:rPr>
        <w:t>Therefore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 order to induce Indemnitee to serve or continue to serve the Corporation as a director or executive, and in consideration of the mutual covenants set forth in this Agreement, the parties agree as follows:</w:t>
      </w:r>
    </w:p>
    <w:p>
      <w:pPr>
        <w:spacing w:after="0" w:line="194" w:lineRule="exact"/>
        <w:rPr>
          <w:sz w:val="20"/>
          <w:szCs w:val="20"/>
          <w:color w:val="auto"/>
        </w:rPr>
      </w:pPr>
    </w:p>
    <w:p>
      <w:pPr>
        <w:ind w:left="1500" w:hanging="643"/>
        <w:spacing w:after="0"/>
        <w:tabs>
          <w:tab w:leader="none" w:pos="1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Certain terms used in this Agreement are defined as follows:</w:t>
      </w:r>
    </w:p>
    <w:p>
      <w:pPr>
        <w:spacing w:after="0" w:line="233"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Claim</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Claim</w:t>
      </w:r>
      <w:r>
        <w:rPr>
          <w:rFonts w:ascii="Times New Roman" w:cs="Times New Roman" w:eastAsia="Times New Roman" w:hAnsi="Times New Roman"/>
          <w:sz w:val="21"/>
          <w:szCs w:val="21"/>
          <w:color w:val="auto"/>
        </w:rPr>
        <w:t>” includes any threatened, pending, or completed action, suit,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derivative action, arbitration, counterclaim, cross-claim, or proceeding, or any inquiry or investigation, whether civil, criminal, administrative, or investigative and whether formal or informal, related to or arising from: (i) any actual or alleged act or omission of Indemnitee as a director or officer of the Corporation or another corporation or enterprise where Indemnitee is or was serving at the request of the Corporation; or (ii) the fact that Indemnitee is or was a director or officer of the Corporation or is or was serving at the request of the Corporation as a director or officer of another corporation or enterprise; or (iii) the fact that Indemnitee serves or served in any capacity with respect to any employee compensation or benefit plan of the Corporation or any Subsidiary or any actual or alleged acts or omissions in such capacity. For purposes of this Agreement, Indemnitee’s service as a director, officer, employee, trustee, or agent of any Subsidiary shall be deemed to be service at the request of the Corporation. For the avoidance of doubt, a Claim includes any such proceeding, whether instituted by or on behalf of the Corporation</w:t>
      </w:r>
    </w:p>
    <w:p>
      <w:pPr>
        <w:spacing w:after="0" w:line="1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5" w:name="page46"/>
    <w:bookmarkEnd w:id="4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10(a)</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or any other party.</w:t>
      </w:r>
    </w:p>
    <w:p>
      <w:pPr>
        <w:spacing w:after="0" w:line="229" w:lineRule="exact"/>
        <w:rPr>
          <w:sz w:val="20"/>
          <w:szCs w:val="20"/>
          <w:color w:val="auto"/>
        </w:rPr>
      </w:pPr>
    </w:p>
    <w:p>
      <w:pPr>
        <w:jc w:val="both"/>
        <w:ind w:left="200" w:right="219" w:firstLine="1305"/>
        <w:spacing w:after="0" w:line="234" w:lineRule="auto"/>
        <w:tabs>
          <w:tab w:leader="none" w:pos="21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include attorneys’ fees and all other costs, expenses,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obligations­ actually and reasonably paid or incurred in connection with investigating,­ defending, participating,­ or being a witness in, or preparing to defend, participate, or be a witness in, any Claim or appeal therefrom, including court costs, transcript costs, fees of experts and consultants, travel expenses, duplicating costs, printing and binding costs, telephone charges, postage, delivery service fees, and any federal, state, local, or foreign taxes imposed on Indemnitee as a result of the actual or deemed receipt of any payments under this Agreement. Expenses also shall include costs and expenses incurred in connection with any appeal resulting from any Claim, including the premium, security for, and other costs relating to any bond or its equivalent, and costs and expenses incurred by Indemnitee in connection with the interpretation, enforcement, or defense of Indemnitee’s rights under this Agreement by litigation or otherwise.</w:t>
      </w:r>
    </w:p>
    <w:p>
      <w:pPr>
        <w:spacing w:after="0" w:line="202"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Change  in  Control. </w:t>
      </w: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be deemed to have</w:t>
      </w:r>
    </w:p>
    <w:p>
      <w:pPr>
        <w:spacing w:after="0" w:line="18"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occurred if:</w:t>
      </w:r>
    </w:p>
    <w:p>
      <w:pPr>
        <w:spacing w:after="0" w:line="209" w:lineRule="exact"/>
        <w:rPr>
          <w:rFonts w:ascii="Times New Roman" w:cs="Times New Roman" w:eastAsia="Times New Roman" w:hAnsi="Times New Roman"/>
          <w:sz w:val="22"/>
          <w:szCs w:val="22"/>
          <w:color w:val="auto"/>
        </w:rPr>
      </w:pPr>
    </w:p>
    <w:p>
      <w:pPr>
        <w:jc w:val="both"/>
        <w:ind w:left="860" w:right="219" w:firstLine="1293"/>
        <w:spacing w:after="0" w:line="247" w:lineRule="auto"/>
        <w:tabs>
          <w:tab w:leader="none" w:pos="2804"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(as such term is used in Sections 13(d) and 14(d) of the Securities Exchange Act of 1934, as amended (the “</w:t>
      </w:r>
      <w:r>
        <w:rPr>
          <w:rFonts w:ascii="Times New Roman" w:cs="Times New Roman" w:eastAsia="Times New Roman" w:hAnsi="Times New Roman"/>
          <w:sz w:val="21"/>
          <w:szCs w:val="21"/>
          <w:u w:val="single" w:color="auto"/>
          <w:color w:val="auto"/>
        </w:rPr>
        <w:t>1934 Act</w:t>
      </w:r>
      <w:r>
        <w:rPr>
          <w:rFonts w:ascii="Times New Roman" w:cs="Times New Roman" w:eastAsia="Times New Roman" w:hAnsi="Times New Roman"/>
          <w:sz w:val="21"/>
          <w:szCs w:val="21"/>
          <w:color w:val="auto"/>
        </w:rPr>
        <w:t>”)), other than a trustee or other fiduciary holding securities under any employee­ benefit plan of the Corporation or a corporation owned directly or indirectly by the shareholders of the Corporation­ in substantially the same proportions as their ownership of stock in the Corporation, after the date of this Agreement, becomes the “beneficial­ owner” (as defined in Rule 13d-3 under the 1934 Act), directly or indirectly, of shares having twenty percent (20%) or more of the total voting power of the securities of the Corporation issued and outstanding; or</w:t>
      </w:r>
    </w:p>
    <w:p>
      <w:pPr>
        <w:spacing w:after="0" w:line="198" w:lineRule="exact"/>
        <w:rPr>
          <w:rFonts w:ascii="Times New Roman" w:cs="Times New Roman" w:eastAsia="Times New Roman" w:hAnsi="Times New Roman"/>
          <w:sz w:val="21"/>
          <w:szCs w:val="21"/>
          <w:color w:val="auto"/>
        </w:rPr>
      </w:pPr>
    </w:p>
    <w:p>
      <w:pPr>
        <w:jc w:val="both"/>
        <w:ind w:left="860" w:right="219" w:firstLine="1293"/>
        <w:spacing w:after="0" w:line="235" w:lineRule="auto"/>
        <w:tabs>
          <w:tab w:leader="none" w:pos="2804"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the Corporation approve a merger or consolidation of the Corporation with any other corporation (other than a merger or consolidation which would result in the then outstanding common stock of the Corporation continuing to represent at least eighty percent (80%) of the total voting power of the surviving entity), or the shareholders of the Corporation approve a plan of complete liquidation of the Corporation or an agreement for the sale or disposition of all or substantially all of the Corporation’s assets; or</w:t>
      </w:r>
    </w:p>
    <w:p>
      <w:pPr>
        <w:spacing w:after="0" w:line="210" w:lineRule="exact"/>
        <w:rPr>
          <w:rFonts w:ascii="Times New Roman" w:cs="Times New Roman" w:eastAsia="Times New Roman" w:hAnsi="Times New Roman"/>
          <w:sz w:val="22"/>
          <w:szCs w:val="22"/>
          <w:color w:val="auto"/>
        </w:rPr>
      </w:pPr>
    </w:p>
    <w:p>
      <w:pPr>
        <w:jc w:val="both"/>
        <w:ind w:left="860" w:right="219" w:firstLine="1293"/>
        <w:spacing w:after="0" w:line="236" w:lineRule="auto"/>
        <w:tabs>
          <w:tab w:leader="none" w:pos="2804"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individuals who, as of the date of this Agreement, constitute the members of the Board (the “</w:t>
      </w:r>
      <w:r>
        <w:rPr>
          <w:rFonts w:ascii="Times New Roman" w:cs="Times New Roman" w:eastAsia="Times New Roman" w:hAnsi="Times New Roman"/>
          <w:sz w:val="22"/>
          <w:szCs w:val="22"/>
          <w:u w:val="single" w:color="auto"/>
          <w:color w:val="auto"/>
        </w:rPr>
        <w:t>Incumbent Directors</w:t>
      </w:r>
      <w:r>
        <w:rPr>
          <w:rFonts w:ascii="Times New Roman" w:cs="Times New Roman" w:eastAsia="Times New Roman" w:hAnsi="Times New Roman"/>
          <w:sz w:val="22"/>
          <w:szCs w:val="22"/>
          <w:color w:val="auto"/>
        </w:rPr>
        <w:t>”) and any individual who thereafter becomes a director of the Corporation and whose election, or nomination for election by the Corporation’s shareholders, was approved by a vote of at least a majority of the Incumbent Directors then in office cease for any reason to constitute at least a majority of the members of the Board.</w:t>
      </w:r>
    </w:p>
    <w:p>
      <w:pPr>
        <w:spacing w:after="0" w:line="204" w:lineRule="exact"/>
        <w:rPr>
          <w:rFonts w:ascii="Times New Roman" w:cs="Times New Roman" w:eastAsia="Times New Roman" w:hAnsi="Times New Roman"/>
          <w:sz w:val="22"/>
          <w:szCs w:val="22"/>
          <w:color w:val="auto"/>
        </w:rPr>
      </w:pPr>
    </w:p>
    <w:p>
      <w:pPr>
        <w:jc w:val="both"/>
        <w:ind w:left="200" w:right="219" w:firstLine="1305"/>
        <w:spacing w:after="0" w:line="241" w:lineRule="auto"/>
        <w:tabs>
          <w:tab w:leader="none" w:pos="21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corporation or other entity of which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Corporation owns, directly or indirectly, securities representing more than fifty percent (50%) of the voting power for the election of directors or other managing authority, or which is otherwise controlled, directly or indirectly, by the Corporation.</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46" w:name="page47"/>
    <w:bookmarkEnd w:id="46"/>
    <w:p>
      <w:pPr>
        <w:ind w:left="7800"/>
        <w:spacing w:after="0"/>
        <w:rPr>
          <w:sz w:val="20"/>
          <w:szCs w:val="20"/>
          <w:color w:val="auto"/>
        </w:rPr>
      </w:pPr>
      <w:r>
        <w:rPr>
          <w:rFonts w:ascii="Times New Roman" w:cs="Times New Roman" w:eastAsia="Times New Roman" w:hAnsi="Times New Roman"/>
          <w:sz w:val="17"/>
          <w:szCs w:val="17"/>
          <w:b w:val="1"/>
          <w:bCs w:val="1"/>
          <w:color w:val="auto"/>
        </w:rPr>
        <w:t>Exhibit 10(a)</w:t>
      </w:r>
    </w:p>
    <w:p>
      <w:pPr>
        <w:spacing w:after="0" w:line="200" w:lineRule="exact"/>
        <w:rPr>
          <w:sz w:val="20"/>
          <w:szCs w:val="20"/>
          <w:color w:val="auto"/>
        </w:rPr>
      </w:pPr>
    </w:p>
    <w:p>
      <w:pPr>
        <w:spacing w:after="0" w:line="270" w:lineRule="exact"/>
        <w:rPr>
          <w:sz w:val="20"/>
          <w:szCs w:val="20"/>
          <w:color w:val="auto"/>
        </w:rPr>
      </w:pPr>
    </w:p>
    <w:p>
      <w:pPr>
        <w:jc w:val="both"/>
        <w:ind w:left="200" w:right="219" w:firstLine="657"/>
        <w:spacing w:after="0" w:line="241" w:lineRule="auto"/>
        <w:tabs>
          <w:tab w:leader="none" w:pos="14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Agreement to Serve</w:t>
      </w:r>
      <w:r>
        <w:rPr>
          <w:rFonts w:ascii="Times New Roman" w:cs="Times New Roman" w:eastAsia="Times New Roman" w:hAnsi="Times New Roman"/>
          <w:sz w:val="22"/>
          <w:szCs w:val="22"/>
          <w:color w:val="auto"/>
        </w:rPr>
        <w:t>. Indemnitee agrees to serve or continue to serve as a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officer of the Corporation to the best of his or her ability so long as he or she is duly elected or appointed and qualified in accordance with the Articles of Incorporation and Bylaws of the Corporation, or until his or her earlier resignation or removal.</w:t>
      </w:r>
    </w:p>
    <w:p>
      <w:pPr>
        <w:spacing w:after="0" w:line="198"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 Precedent to Indemnification; Defense of Claims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200" w:right="219" w:firstLine="1305"/>
        <w:spacing w:after="0" w:line="248" w:lineRule="auto"/>
        <w:tabs>
          <w:tab w:leader="none" w:pos="2144"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Notice. </w:t>
      </w:r>
      <w:r>
        <w:rPr>
          <w:rFonts w:ascii="Times New Roman" w:cs="Times New Roman" w:eastAsia="Times New Roman" w:hAnsi="Times New Roman"/>
          <w:sz w:val="21"/>
          <w:szCs w:val="21"/>
          <w:color w:val="auto"/>
        </w:rPr>
        <w:t>Indemnitee, as a condition precedent to indemnification under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shall tender written notice to the Corporation as soon as practicable of any Claim made against him or her for which indemnification will or likely will be sought under the terms of this Agreement. In addition, Indemnitee shall give the Corporation such information and cooperation as may be reasonably necessary and requested by the Corporation. The failure by Indemnitee to timely provide such notice to the Corporation shall not relieve the Corporation from any liability under this Agreement unless the Corporation was materially and adversely affected by such failure.</w:t>
      </w:r>
    </w:p>
    <w:p>
      <w:pPr>
        <w:spacing w:after="0" w:line="197" w:lineRule="exact"/>
        <w:rPr>
          <w:rFonts w:ascii="Times New Roman" w:cs="Times New Roman" w:eastAsia="Times New Roman" w:hAnsi="Times New Roman"/>
          <w:sz w:val="21"/>
          <w:szCs w:val="21"/>
          <w:color w:val="auto"/>
        </w:rPr>
      </w:pPr>
    </w:p>
    <w:p>
      <w:pPr>
        <w:jc w:val="both"/>
        <w:ind w:left="200" w:right="219" w:firstLine="1305"/>
        <w:spacing w:after="0" w:line="233" w:lineRule="auto"/>
        <w:tabs>
          <w:tab w:leader="none" w:pos="2144"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Defense. </w:t>
      </w:r>
      <w:r>
        <w:rPr>
          <w:rFonts w:ascii="Times New Roman" w:cs="Times New Roman" w:eastAsia="Times New Roman" w:hAnsi="Times New Roman"/>
          <w:sz w:val="22"/>
          <w:szCs w:val="22"/>
          <w:color w:val="auto"/>
        </w:rPr>
        <w:t>The provisions of this Section 3(b) shall apply with respect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defense of any Claim. The Corporation shall have the right, upon written notice to Indemnitee, to assume the defense of any Claim with counsel selected by the Corporation and reasonably satisfactory to Indemnitee. Notwithstanding the foregoing, Indemnitee shall have the right to employ separate counsel, and the Corporation shall advance and indemnify the Expenses of such counsel, if (i) the Corporation has not assumed the defense within a reasonable period after notice of the Claim, (ii) Indemnitee reasonably concludes that there is an actual or potential conflict of interest between the Corporation and Indemnitee with respect to such Claim, or (iii) the Claim includes both the Corporation and Indemnitee and Indemnitee reasonably concludes that joint representation would be inappropriate. The Corporation shall not be liable for the Expenses of more than one separate firm of attorneys for Indemnitee in connection with any single Claim, except to the extent the Corporation has consented in writing to the employment of additional counsel.</w:t>
      </w:r>
    </w:p>
    <w:p>
      <w:pPr>
        <w:spacing w:after="0" w:line="209" w:lineRule="exact"/>
        <w:rPr>
          <w:rFonts w:ascii="Times New Roman" w:cs="Times New Roman" w:eastAsia="Times New Roman" w:hAnsi="Times New Roman"/>
          <w:sz w:val="22"/>
          <w:szCs w:val="22"/>
          <w:color w:val="auto"/>
        </w:rPr>
      </w:pPr>
    </w:p>
    <w:p>
      <w:pPr>
        <w:jc w:val="both"/>
        <w:ind w:left="200" w:right="219" w:firstLine="657"/>
        <w:spacing w:after="0" w:line="246" w:lineRule="auto"/>
        <w:tabs>
          <w:tab w:leader="none" w:pos="14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Indemnification in General</w:t>
      </w:r>
      <w:r>
        <w:rPr>
          <w:rFonts w:ascii="Times New Roman" w:cs="Times New Roman" w:eastAsia="Times New Roman" w:hAnsi="Times New Roman"/>
          <w:sz w:val="22"/>
          <w:szCs w:val="22"/>
          <w:color w:val="auto"/>
        </w:rPr>
        <w:t>. Except as provided in Section 5 and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of this Agreement, the Corporation agrees to indemnify Indemnitee as follows:</w:t>
      </w:r>
    </w:p>
    <w:p>
      <w:pPr>
        <w:spacing w:after="0" w:line="194"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Duty to Indemnify. </w:t>
      </w:r>
      <w:r>
        <w:rPr>
          <w:rFonts w:ascii="Times New Roman" w:cs="Times New Roman" w:eastAsia="Times New Roman" w:hAnsi="Times New Roman"/>
          <w:sz w:val="22"/>
          <w:szCs w:val="22"/>
          <w:color w:val="auto"/>
        </w:rPr>
        <w:t>In the event Indemnitee was, is, or becomes a party to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witness or other participant in, or is threatened to be made a party to or witness or other participant in, a Claim, the Corporation shall indemnify Indemnitee, to the fullest extent permitted by applicable law, against any and all Expenses, judgments, fines, penalties, and amounts paid in settlement­ of such Claim.</w:t>
      </w:r>
    </w:p>
    <w:p>
      <w:pPr>
        <w:spacing w:after="0" w:line="203" w:lineRule="exact"/>
        <w:rPr>
          <w:rFonts w:ascii="Times New Roman" w:cs="Times New Roman" w:eastAsia="Times New Roman" w:hAnsi="Times New Roman"/>
          <w:sz w:val="22"/>
          <w:szCs w:val="22"/>
          <w:color w:val="auto"/>
        </w:rPr>
      </w:pPr>
    </w:p>
    <w:p>
      <w:pPr>
        <w:jc w:val="both"/>
        <w:ind w:left="200" w:right="219" w:firstLine="1305"/>
        <w:spacing w:after="0" w:line="237" w:lineRule="auto"/>
        <w:tabs>
          <w:tab w:leader="none" w:pos="2144"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Determination as to Standard of Conduct. </w:t>
      </w:r>
      <w:r>
        <w:rPr>
          <w:rFonts w:ascii="Times New Roman" w:cs="Times New Roman" w:eastAsia="Times New Roman" w:hAnsi="Times New Roman"/>
          <w:sz w:val="22"/>
          <w:szCs w:val="22"/>
          <w:color w:val="auto"/>
        </w:rPr>
        <w:t>The Corporation shall indemnify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Indemnitee as soon as practicable, but in any event not later than thirty (30) days after written demand is presented to the Corporation, unless a determination is made by the Board by a majority vote of a quorum of disinterested directors that Indemnitee did not act in good faith or did not act in a manner which he or she believed to be in or not opposed to the best interests of the Corporation</w:t>
      </w:r>
    </w:p>
    <w:p>
      <w:pPr>
        <w:spacing w:after="0" w:line="1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47" w:name="page48"/>
    <w:bookmarkEnd w:id="47"/>
    <w:p>
      <w:pPr>
        <w:ind w:left="7800"/>
        <w:spacing w:after="0"/>
        <w:rPr>
          <w:sz w:val="20"/>
          <w:szCs w:val="20"/>
          <w:color w:val="auto"/>
        </w:rPr>
      </w:pPr>
      <w:r>
        <w:rPr>
          <w:rFonts w:ascii="Times New Roman" w:cs="Times New Roman" w:eastAsia="Times New Roman" w:hAnsi="Times New Roman"/>
          <w:sz w:val="17"/>
          <w:szCs w:val="17"/>
          <w:b w:val="1"/>
          <w:bCs w:val="1"/>
          <w:color w:val="auto"/>
        </w:rPr>
        <w:t>Exhibit 10(a)</w:t>
      </w:r>
    </w:p>
    <w:p>
      <w:pPr>
        <w:spacing w:after="0" w:line="231" w:lineRule="exact"/>
        <w:rPr>
          <w:sz w:val="20"/>
          <w:szCs w:val="20"/>
          <w:color w:val="auto"/>
        </w:rPr>
      </w:pPr>
    </w:p>
    <w:p>
      <w:pPr>
        <w:jc w:val="both"/>
        <w:ind w:left="200" w:right="219"/>
        <w:spacing w:after="0" w:line="242" w:lineRule="auto"/>
        <w:rPr>
          <w:sz w:val="20"/>
          <w:szCs w:val="20"/>
          <w:color w:val="auto"/>
        </w:rPr>
      </w:pPr>
      <w:r>
        <w:rPr>
          <w:rFonts w:ascii="Times New Roman" w:cs="Times New Roman" w:eastAsia="Times New Roman" w:hAnsi="Times New Roman"/>
          <w:sz w:val="21"/>
          <w:szCs w:val="21"/>
          <w:color w:val="auto"/>
        </w:rPr>
        <w:t>or its shareholders or, with respect to any criminal action or proceeding, that Indemnitee had reasonable cause to believe his or her conduct was unlawful. In the event a quorum of disinterested directors is not obtainable, the Board shall promptly direct that the determination of entitlement to indemnification be made by a majority vote of a committee of the Board of Directors, consisting of not less than two disinterested directors, or by independent legal counsel in a written opinion. In making any determination with respect to entitlement to indemnification hereunder, the person or persons making such determination shall, to the fullest extent not prohibited by law, presume that Indemnitee is entitled to indemnification under this Agreement if Indemnitee has submitted a request for indemnification, and the Corporation shall have the burden of proof to overcome that presumption in connection with any determination contrary to that presumption. If such determination is not made within thirty (30) days after written demand for indemnification is presented to the Corporation (such thirty (30) day period is to be extended for a reasonable time, not to exceed an additional thirty (30) days, if the person or persons making such determination in good faith require such additional time to obtain or evaluate information relating to their determination), Indemnitee shall (i) to the fullest extent permitted by applicable law, be deemed to have satisfied the applicable standard of conduct and shall be entitled to such indemnification, or</w:t>
      </w:r>
    </w:p>
    <w:p>
      <w:pPr>
        <w:spacing w:after="0" w:line="16" w:lineRule="exact"/>
        <w:rPr>
          <w:sz w:val="20"/>
          <w:szCs w:val="20"/>
          <w:color w:val="auto"/>
        </w:rPr>
      </w:pPr>
    </w:p>
    <w:p>
      <w:pPr>
        <w:ind w:left="520" w:hanging="311"/>
        <w:spacing w:after="0"/>
        <w:tabs>
          <w:tab w:leader="none" w:pos="52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result in clause (i) is contrary to applicable law, to seek de novo judicial or arbitral relief.</w:t>
      </w:r>
    </w:p>
    <w:p>
      <w:pPr>
        <w:spacing w:after="0" w:line="216" w:lineRule="exact"/>
        <w:rPr>
          <w:rFonts w:ascii="Times New Roman" w:cs="Times New Roman" w:eastAsia="Times New Roman" w:hAnsi="Times New Roman"/>
          <w:sz w:val="21"/>
          <w:szCs w:val="21"/>
          <w:color w:val="auto"/>
        </w:rPr>
      </w:pPr>
    </w:p>
    <w:p>
      <w:pPr>
        <w:jc w:val="both"/>
        <w:ind w:left="200" w:right="219" w:firstLine="1305"/>
        <w:spacing w:after="0" w:line="238" w:lineRule="auto"/>
        <w:tabs>
          <w:tab w:leader="none" w:pos="2144"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Determination Following Change in Control</w:t>
      </w:r>
      <w:r>
        <w:rPr>
          <w:rFonts w:ascii="Times New Roman" w:cs="Times New Roman" w:eastAsia="Times New Roman" w:hAnsi="Times New Roman"/>
          <w:sz w:val="22"/>
          <w:szCs w:val="22"/>
          <w:color w:val="auto"/>
        </w:rPr>
        <w:t>. Notwithstanding Section 4(b)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above, following a Change in Control, if any determination is required by applicable law as a condition to Indemnitee’s entitlement to indemnification under this Agreement, such determination shall be made in a written opinion by independent legal counsel that, to the fullest extent permitted by applicable law, is selected by Indemnitee.</w:t>
      </w:r>
    </w:p>
    <w:p>
      <w:pPr>
        <w:spacing w:after="0" w:line="203"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Successful Defense; Liability to Corporation.</w:t>
      </w:r>
    </w:p>
    <w:p>
      <w:pPr>
        <w:spacing w:after="0" w:line="23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Successful Defense. </w:t>
      </w:r>
      <w:r>
        <w:rPr>
          <w:rFonts w:ascii="Times New Roman" w:cs="Times New Roman" w:eastAsia="Times New Roman" w:hAnsi="Times New Roman"/>
          <w:sz w:val="22"/>
          <w:szCs w:val="22"/>
          <w:color w:val="auto"/>
        </w:rPr>
        <w:t>To the extent Indemnitee is successful on the merits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in defense of any Claim or any claim, issue, or matter therein, the Corporation shall indemnify Indemnitee against all Expenses actually and reasonably incurred by Indemnitee in connection therewith. This right of indemnification is mandatory and shall not require any determination pursuant to Section 4(b).</w:t>
      </w:r>
    </w:p>
    <w:p>
      <w:pPr>
        <w:spacing w:after="0" w:line="203"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2"/>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Determination of Liability to Corporation. </w:t>
      </w:r>
      <w:r>
        <w:rPr>
          <w:rFonts w:ascii="Times New Roman" w:cs="Times New Roman" w:eastAsia="Times New Roman" w:hAnsi="Times New Roman"/>
          <w:sz w:val="21"/>
          <w:szCs w:val="21"/>
          <w:color w:val="auto"/>
        </w:rPr>
        <w:t>Subject to Section 6, in the event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Indemnitee is found liable to the Corporation as to any Claim brought by or in the right of the Corporation, the Corporation shall indemnify Indemnitee only to the extent that the court in which the Claim was brought, or another court of competent jurisdiction, determines that Indemnitee is fairly and reasonably entitled to indemnification in view of all relevant circumstances.</w:t>
      </w:r>
    </w:p>
    <w:p>
      <w:pPr>
        <w:spacing w:after="0" w:line="200" w:lineRule="exact"/>
        <w:rPr>
          <w:rFonts w:ascii="Times New Roman" w:cs="Times New Roman" w:eastAsia="Times New Roman" w:hAnsi="Times New Roman"/>
          <w:sz w:val="21"/>
          <w:szCs w:val="21"/>
          <w:color w:val="auto"/>
        </w:rPr>
      </w:pPr>
    </w:p>
    <w:p>
      <w:pPr>
        <w:spacing w:after="0" w:line="246" w:lineRule="exact"/>
        <w:rPr>
          <w:rFonts w:ascii="Times New Roman" w:cs="Times New Roman" w:eastAsia="Times New Roman" w:hAnsi="Times New Roman"/>
          <w:sz w:val="21"/>
          <w:szCs w:val="21"/>
          <w:color w:val="auto"/>
        </w:rPr>
      </w:pPr>
    </w:p>
    <w:p>
      <w:pPr>
        <w:jc w:val="both"/>
        <w:ind w:left="200" w:right="219" w:firstLine="657"/>
        <w:spacing w:after="0" w:line="250" w:lineRule="auto"/>
        <w:tabs>
          <w:tab w:leader="none" w:pos="1496"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Limitations on Indemnification</w:t>
      </w:r>
      <w:r>
        <w:rPr>
          <w:rFonts w:ascii="Times New Roman" w:cs="Times New Roman" w:eastAsia="Times New Roman" w:hAnsi="Times New Roman"/>
          <w:sz w:val="21"/>
          <w:szCs w:val="21"/>
          <w:color w:val="auto"/>
        </w:rPr>
        <w:t>. The Corporation shall not be liable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to make any payment in connection with any Claim made against Indemnitee: (a) to the extent payment has actually been received by or on behalf of Indemnitee under a valid and collectible insurance policy, except for any excess beyond the amount of payment actually received under such insurance policy; (b) to the extent Indemnitee has actually received indemnification, advancement, reimbursement, or other payment from the Corporation­ otherwise</w:t>
      </w:r>
    </w:p>
    <w:p>
      <w:pPr>
        <w:spacing w:after="0" w:line="16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48" w:name="page49"/>
    <w:bookmarkEnd w:id="48"/>
    <w:p>
      <w:pPr>
        <w:ind w:left="7800"/>
        <w:spacing w:after="0"/>
        <w:rPr>
          <w:sz w:val="20"/>
          <w:szCs w:val="20"/>
          <w:color w:val="auto"/>
        </w:rPr>
      </w:pPr>
      <w:r>
        <w:rPr>
          <w:rFonts w:ascii="Times New Roman" w:cs="Times New Roman" w:eastAsia="Times New Roman" w:hAnsi="Times New Roman"/>
          <w:sz w:val="17"/>
          <w:szCs w:val="17"/>
          <w:b w:val="1"/>
          <w:bCs w:val="1"/>
          <w:color w:val="auto"/>
        </w:rPr>
        <w:t>Exhibit 10(a)</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than pursuant to this Agreement or from any other source for the same Expenses or other amounts;</w:t>
      </w:r>
    </w:p>
    <w:p>
      <w:pPr>
        <w:spacing w:after="0" w:line="26" w:lineRule="exact"/>
        <w:rPr>
          <w:sz w:val="20"/>
          <w:szCs w:val="20"/>
          <w:color w:val="auto"/>
        </w:rPr>
      </w:pPr>
    </w:p>
    <w:p>
      <w:pPr>
        <w:jc w:val="both"/>
        <w:ind w:left="200" w:right="219" w:firstLine="9"/>
        <w:spacing w:after="0" w:line="231" w:lineRule="auto"/>
        <w:tabs>
          <w:tab w:leader="none" w:pos="50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 accounting of profits made from the purchase or sale by Indemnitee of securities of the Corporation, within the meaning of Section 16(b) of the 1934 Act or similar provisions of any state law; (d) for any reimbursement of the Corporation by Indemnitee of any bonus or other incentive-based or equity-based compensation pursuant to any clawback policy adopted by the Corporation or any of its Subsidiaries to comply with the 1934 Act or other applicable law or exchange listing standards; or (e) for which payment of indemnification by the Corporation is otherwise prohibited by applicable law. Notwithstanding anything to the contrary in this Agreement, Indemnitee shall not be entitled to receive duplicative payment for the same Expenses or other amounts, and the total amount of Expenses advanced or indemnified from all sources combined shall not exceed the amount of actual Expenses incurred by Indemnitee. Except as provided in Section 8 and except for any counterclaim, cross-claim, third-party claim, or other defensive action asserted by Indemnitee in response to a Claim, the Corporation shall not be liable under this Agreement to make any payment in connection with any action initiated by Indemnitee against the Corporation or any director­ or officer of the Corporation, unless the Corporation has joined in or consented to the initiation­ of such action.</w:t>
      </w:r>
    </w:p>
    <w:p>
      <w:pPr>
        <w:spacing w:after="0" w:line="221"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Advancement of Expenses; Reasonableness of Expenses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Advancement. </w:t>
      </w:r>
      <w:r>
        <w:rPr>
          <w:rFonts w:ascii="Times New Roman" w:cs="Times New Roman" w:eastAsia="Times New Roman" w:hAnsi="Times New Roman"/>
          <w:sz w:val="22"/>
          <w:szCs w:val="22"/>
          <w:color w:val="auto"/>
        </w:rPr>
        <w:t>If requested by Indemnitee, the Corporation shall pay (within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ten (10) days of such written request) any and all Expenses incurred by Indemnitee in defending or investigating any Claim, in advance of the final disposition of a Claim, upon the receipt of (a) a written affirmation by Indemnitee of Indemnitee’s good-faith belief that Indemnitee has met the applicable standard of conduct set forth in this Agreement, and (b) a written undertaking by Indemnitee to repay any such amounts if it is ultimately determined that Indemnitee is not entitled to indemnification by the Corporation. Such undertaking shall be an unlimited obligation of the Indemnitee but shall be unsecured and interest-free and shall be accepted without reference to the financial ability of Indemnitee to make repayment.</w:t>
      </w:r>
    </w:p>
    <w:p>
      <w:pPr>
        <w:spacing w:after="0" w:line="200"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Reasonableness Determination. </w:t>
      </w:r>
      <w:r>
        <w:rPr>
          <w:rFonts w:ascii="Times New Roman" w:cs="Times New Roman" w:eastAsia="Times New Roman" w:hAnsi="Times New Roman"/>
          <w:sz w:val="22"/>
          <w:szCs w:val="22"/>
          <w:color w:val="auto"/>
        </w:rPr>
        <w:t>For purposes of any provision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requiring payment, advancement, reimbursement, or indemnification of Expenses, Expenses submitted by Indemnitee shall be presumed to have been actually and reasonably incurred if supported by invoices, statements, or a certification of Indemnitee’s counsel that such Expenses were incurred in good faith in connection with a covered Claim or other covered matter and are reasonable in counsel’s good-faith judgment. The Corporation may not deny, delay, condition, or reduce payment or advancement based on reasonableness unless it objects in writing within ten (10) days after receipt of Indemnitee’s request and identifies the specific disputed amounts and basis for objection. Any undisputed portion shall be paid when due, and any disputed portion shall be resolved promptly, at the Corporation’s expense, by independent legal counsel applying the presumption in favor of Indemnitee. The Corporation shall not require disclosure of privileged, work-product, or defense-strategy information as a condition to payment or advancement, provided that Indemnitee shall be obligated to provide other information as reasonably requested by the Corporation.</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Savings Clause. </w:t>
      </w:r>
      <w:r>
        <w:rPr>
          <w:rFonts w:ascii="Times New Roman" w:cs="Times New Roman" w:eastAsia="Times New Roman" w:hAnsi="Times New Roman"/>
          <w:sz w:val="22"/>
          <w:szCs w:val="22"/>
          <w:color w:val="auto"/>
        </w:rPr>
        <w:t>Nothing in this Section requires payment of any amount</w:t>
      </w:r>
    </w:p>
    <w:p>
      <w:pPr>
        <w:spacing w:after="0" w:line="2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49" w:name="page50"/>
    <w:bookmarkEnd w:id="49"/>
    <w:p>
      <w:pPr>
        <w:ind w:left="7800"/>
        <w:spacing w:after="0"/>
        <w:rPr>
          <w:sz w:val="20"/>
          <w:szCs w:val="20"/>
          <w:color w:val="auto"/>
        </w:rPr>
      </w:pPr>
      <w:r>
        <w:rPr>
          <w:rFonts w:ascii="Times New Roman" w:cs="Times New Roman" w:eastAsia="Times New Roman" w:hAnsi="Times New Roman"/>
          <w:sz w:val="17"/>
          <w:szCs w:val="17"/>
          <w:b w:val="1"/>
          <w:bCs w:val="1"/>
          <w:color w:val="auto"/>
        </w:rPr>
        <w:t>Exhibit 10(a)</w:t>
      </w:r>
    </w:p>
    <w:p>
      <w:pPr>
        <w:spacing w:after="0" w:line="2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finally determined to be prohibited by applicable law.</w:t>
      </w:r>
    </w:p>
    <w:p>
      <w:pPr>
        <w:spacing w:after="0" w:line="229" w:lineRule="exact"/>
        <w:rPr>
          <w:sz w:val="20"/>
          <w:szCs w:val="20"/>
          <w:color w:val="auto"/>
        </w:rPr>
      </w:pPr>
    </w:p>
    <w:p>
      <w:pPr>
        <w:jc w:val="both"/>
        <w:ind w:left="200" w:right="219" w:firstLine="657"/>
        <w:spacing w:after="0" w:line="244" w:lineRule="auto"/>
        <w:tabs>
          <w:tab w:leader="none" w:pos="149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Indemnification for Additional Expenses</w:t>
      </w:r>
      <w:r>
        <w:rPr>
          <w:rFonts w:ascii="Times New Roman" w:cs="Times New Roman" w:eastAsia="Times New Roman" w:hAnsi="Times New Roman"/>
          <w:sz w:val="21"/>
          <w:szCs w:val="21"/>
          <w:color w:val="auto"/>
        </w:rPr>
        <w:t>. The Corporation shall, to the fullest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extent permitted by applicable law, indemnify Indemnitee against Expenses reasonably incurred by Indemnitee in any action, whether brought by Indemnitee, the Corporation, an insurer, or any other person and whether by litigation, arbitration, or otherwise, to (a) enforce or defend Indemnitee’s rights to indemnification, advancement of Expenses, contribution, reimbursement, or any other payment or protection from the Corporation under this Agreement, the Corporation’s Articles of Incorporation, Bylaws, or applicable law; or (b) recover under any insurance policy maintained by the Corporation or any of its Subsidiaries; provided that Indemnitee shall be entitled to indemnification under this Section only to the extent Indemnitee is successful in whole or in part in such action or such Expenses are otherwise required to be indemnified under applicable law. Upon receipt of any undertaking required by applicable law, the Corporation shall advance Expenses reasonably incurred in connection with any action described in this Section within ten (10) days after written request; provided that Indemnitee shall reimburse the Corporation for any Expenses advanced or paid under this Section to the extent that a final, non-appealable adjudication determines that Indemnitee is not entitled to indemnification for such Expenses under this Section or applicable law. If Indemnitee is successful with respect to only a portion of any action described in this Section, the Corporation shall indemnify and advance only the portion of Expenses that is reasonably allocable to the successful or otherwise indemnifiable portion of such action, to the fullest extent permitted by applicable law.</w:t>
      </w:r>
    </w:p>
    <w:p>
      <w:pPr>
        <w:spacing w:after="0" w:line="200" w:lineRule="exact"/>
        <w:rPr>
          <w:rFonts w:ascii="Times New Roman" w:cs="Times New Roman" w:eastAsia="Times New Roman" w:hAnsi="Times New Roman"/>
          <w:sz w:val="21"/>
          <w:szCs w:val="21"/>
          <w:color w:val="auto"/>
        </w:rPr>
      </w:pPr>
    </w:p>
    <w:p>
      <w:pPr>
        <w:spacing w:after="0" w:line="240" w:lineRule="exact"/>
        <w:rPr>
          <w:rFonts w:ascii="Times New Roman" w:cs="Times New Roman" w:eastAsia="Times New Roman" w:hAnsi="Times New Roman"/>
          <w:sz w:val="21"/>
          <w:szCs w:val="21"/>
          <w:color w:val="auto"/>
        </w:rPr>
      </w:pPr>
    </w:p>
    <w:p>
      <w:pPr>
        <w:jc w:val="both"/>
        <w:ind w:left="200" w:right="219" w:firstLine="657"/>
        <w:spacing w:after="0" w:line="232" w:lineRule="auto"/>
        <w:tabs>
          <w:tab w:leader="none" w:pos="14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Enforcement by Indemnitee</w:t>
      </w:r>
      <w:r>
        <w:rPr>
          <w:rFonts w:ascii="Times New Roman" w:cs="Times New Roman" w:eastAsia="Times New Roman" w:hAnsi="Times New Roman"/>
          <w:sz w:val="22"/>
          <w:szCs w:val="22"/>
          <w:color w:val="auto"/>
        </w:rPr>
        <w:t>. In the event of any dispute between Indemnitee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as to entitlement to indemnification or advancement of Expenses pursuant to this Agreement, Indemnitee shall be entitled to bring an action in any court of competent jurisdiction, including the circuit courts of the State of Michigan, to enforce his or her rights under this Agreement. Alternatively, at Indemnitee’s option, Indemnitee may seek an award in arbitration to be conducted by a single arbitrator pursuant to the Commercial Arbitration Rules of the American Arbitration Association. Any judicial proceeding or arbitration to enforce this Agreement shall be conducted as a de novo proceeding in which the Corporation shall bear the burden of proving that Indemnitee is not entitled to indemnification or advancement of Expenses. Neither the failure of the Corporation to have made a determination prior to the commencement of any action that indemnification is proper in the circumstances because Indemnitee has met the applicable standard of conduct, nor an actual determination by the Corporation that Indemnitee has not met such applicable standard of conduct, shall be a defense to the action or create a presumption that Indemnitee has not met the applicable standard of conduct. The Corporation shall be precluded from asserting in any such proceeding that the procedures and presumptions of this Agreement are not valid, binding, and enforceable, except to the extent required to preserve a nonwaivable statutory defense or avoid a payment prohibited by applicable law. The Corporation shall not oppose Indemnitee’s right to seek any such adjudication or award in arbitration.</w:t>
      </w:r>
    </w:p>
    <w:p>
      <w:pPr>
        <w:spacing w:after="0" w:line="215" w:lineRule="exact"/>
        <w:rPr>
          <w:rFonts w:ascii="Times New Roman" w:cs="Times New Roman" w:eastAsia="Times New Roman" w:hAnsi="Times New Roman"/>
          <w:sz w:val="22"/>
          <w:szCs w:val="22"/>
          <w:color w:val="auto"/>
        </w:rPr>
      </w:pPr>
    </w:p>
    <w:p>
      <w:pPr>
        <w:jc w:val="both"/>
        <w:ind w:left="200" w:right="219" w:firstLine="657"/>
        <w:spacing w:after="0" w:line="241" w:lineRule="auto"/>
        <w:tabs>
          <w:tab w:leader="none" w:pos="14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Partial Indemnification</w:t>
      </w:r>
      <w:r>
        <w:rPr>
          <w:rFonts w:ascii="Times New Roman" w:cs="Times New Roman" w:eastAsia="Times New Roman" w:hAnsi="Times New Roman"/>
          <w:sz w:val="22"/>
          <w:szCs w:val="22"/>
          <w:color w:val="auto"/>
        </w:rPr>
        <w:t>. In the event Indemnitee is entitled to 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this Agreement for a portion of the Expenses, judgments, fines, penalties, and/or amounts paid in settlement actually and reasonably incurred by him or her in the investigation, defense, appeal, or settlement of any Claim but not, however, for the total amount thereof, the</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50" w:name="page51"/>
    <w:bookmarkEnd w:id="50"/>
    <w:p>
      <w:pPr>
        <w:ind w:left="7800"/>
        <w:spacing w:after="0"/>
        <w:rPr>
          <w:sz w:val="20"/>
          <w:szCs w:val="20"/>
          <w:color w:val="auto"/>
        </w:rPr>
      </w:pPr>
      <w:r>
        <w:rPr>
          <w:rFonts w:ascii="Times New Roman" w:cs="Times New Roman" w:eastAsia="Times New Roman" w:hAnsi="Times New Roman"/>
          <w:sz w:val="17"/>
          <w:szCs w:val="17"/>
          <w:b w:val="1"/>
          <w:bCs w:val="1"/>
          <w:color w:val="auto"/>
        </w:rPr>
        <w:t>Exhibit 10(a)</w:t>
      </w:r>
    </w:p>
    <w:p>
      <w:pPr>
        <w:spacing w:after="0" w:line="2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Corporation shall indemnify Indemnitee for the portion thereof to which Indemnitee is entitled.</w:t>
      </w:r>
    </w:p>
    <w:p>
      <w:pPr>
        <w:spacing w:after="0" w:line="229" w:lineRule="exact"/>
        <w:rPr>
          <w:sz w:val="20"/>
          <w:szCs w:val="20"/>
          <w:color w:val="auto"/>
        </w:rPr>
      </w:pPr>
    </w:p>
    <w:p>
      <w:pPr>
        <w:jc w:val="both"/>
        <w:ind w:left="200" w:right="219" w:firstLine="657"/>
        <w:spacing w:after="0" w:line="236" w:lineRule="auto"/>
        <w:tabs>
          <w:tab w:leader="none" w:pos="14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Consent for Settlements</w:t>
      </w:r>
      <w:r>
        <w:rPr>
          <w:rFonts w:ascii="Times New Roman" w:cs="Times New Roman" w:eastAsia="Times New Roman" w:hAnsi="Times New Roman"/>
          <w:sz w:val="22"/>
          <w:szCs w:val="22"/>
          <w:color w:val="auto"/>
        </w:rPr>
        <w:t>. No amounts to be paid in settlement of any Claim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indemnity may be sought pursuant to this Agreement shall be incurred without the Corporation’s written consent, which consent shall not be unreasonably withheld or delayed. Indemnitee’s prior written consent (which shall not be unreasonably withheld or delayed) shall be required for any settlement that (a) imposes any non-monetary obligation on Indemnitee, (b) includes any admission of liability or wrongdoing by Indemnitee, or (c) does not include an unconditional release of Indemnitee from all liability with respect to such Claim.</w:t>
      </w:r>
    </w:p>
    <w:p>
      <w:pPr>
        <w:spacing w:after="0" w:line="216" w:lineRule="exact"/>
        <w:rPr>
          <w:rFonts w:ascii="Times New Roman" w:cs="Times New Roman" w:eastAsia="Times New Roman" w:hAnsi="Times New Roman"/>
          <w:sz w:val="22"/>
          <w:szCs w:val="22"/>
          <w:color w:val="auto"/>
        </w:rPr>
      </w:pPr>
    </w:p>
    <w:p>
      <w:pPr>
        <w:jc w:val="both"/>
        <w:ind w:left="200" w:right="219" w:firstLine="657"/>
        <w:spacing w:after="0" w:line="235" w:lineRule="auto"/>
        <w:tabs>
          <w:tab w:leader="none" w:pos="14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Subrogation</w:t>
      </w:r>
      <w:r>
        <w:rPr>
          <w:rFonts w:ascii="Times New Roman" w:cs="Times New Roman" w:eastAsia="Times New Roman" w:hAnsi="Times New Roman"/>
          <w:sz w:val="22"/>
          <w:szCs w:val="22"/>
          <w:color w:val="auto"/>
        </w:rPr>
        <w:t>. In the event of payment under this Agreement, the Corporation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subrogated to the extent of such payment to all of the rights of recovery of Indemnitee against any insurer, indemnitor, or other person or entity with respect to the amounts paid by the Corporation. Indemnitee shall execute all documents reasonably required and shall do everything that may be reasonably necessary to secure such rights, including the execution of such documents necessary to enable the Corporation effectively to bring suit or enforce such rights; provided, however, that the Corporation shall not exercise any right of subrogation or reimbursement in a manner that delays any payment or advancement otherwise due to Indemnitee under this Agreement.</w:t>
      </w:r>
    </w:p>
    <w:p>
      <w:pPr>
        <w:spacing w:after="0" w:line="200" w:lineRule="exact"/>
        <w:rPr>
          <w:rFonts w:ascii="Times New Roman" w:cs="Times New Roman" w:eastAsia="Times New Roman" w:hAnsi="Times New Roman"/>
          <w:sz w:val="22"/>
          <w:szCs w:val="22"/>
          <w:color w:val="auto"/>
        </w:rPr>
      </w:pPr>
    </w:p>
    <w:p>
      <w:pPr>
        <w:jc w:val="both"/>
        <w:ind w:left="200" w:right="219" w:firstLine="657"/>
        <w:spacing w:after="0" w:line="238" w:lineRule="auto"/>
        <w:tabs>
          <w:tab w:leader="none" w:pos="14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Presumption</w:t>
      </w:r>
      <w:r>
        <w:rPr>
          <w:rFonts w:ascii="Times New Roman" w:cs="Times New Roman" w:eastAsia="Times New Roman" w:hAnsi="Times New Roman"/>
          <w:sz w:val="22"/>
          <w:szCs w:val="22"/>
          <w:color w:val="auto"/>
        </w:rPr>
        <w:t>. For purposes of this Agreement, the termination of any 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suit, or proceeding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spacing w:after="0" w:line="203" w:lineRule="exact"/>
        <w:rPr>
          <w:rFonts w:ascii="Times New Roman" w:cs="Times New Roman" w:eastAsia="Times New Roman" w:hAnsi="Times New Roman"/>
          <w:sz w:val="22"/>
          <w:szCs w:val="22"/>
          <w:color w:val="auto"/>
        </w:rPr>
      </w:pPr>
    </w:p>
    <w:p>
      <w:pPr>
        <w:jc w:val="both"/>
        <w:ind w:left="200" w:right="219" w:firstLine="657"/>
        <w:spacing w:after="0" w:line="245" w:lineRule="auto"/>
        <w:tabs>
          <w:tab w:leader="none" w:pos="149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Reliance Safe Harbor; No Imputation</w:t>
      </w:r>
      <w:r>
        <w:rPr>
          <w:rFonts w:ascii="Times New Roman" w:cs="Times New Roman" w:eastAsia="Times New Roman" w:hAnsi="Times New Roman"/>
          <w:sz w:val="21"/>
          <w:szCs w:val="21"/>
          <w:color w:val="auto"/>
        </w:rPr>
        <w:t>. For purposes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Indemnitee shall be deemed to have acted in good faith and in a manner he or she reasonably believed to be in or not opposed to the best interests of the Corporation if Indemnitee’s actions or omissions are taken in good faith reliance upon the records of the Corporation, including its financial statements, or upon information, opinions, reports, or statements furnished to Indemnitee by the officers or employees of the Corporation or any of its Subsidiaries in the course of their duties, or by any one or more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Corporation. The knowledge and/or actions, or failure to act, of any director, officer, agent, or employee of the Corporation shall not be imputed to Indemnitee for purposes of determining the right to indemnification under this Agreement.</w:t>
      </w:r>
    </w:p>
    <w:p>
      <w:pPr>
        <w:spacing w:after="0" w:line="200" w:lineRule="exact"/>
        <w:rPr>
          <w:rFonts w:ascii="Times New Roman" w:cs="Times New Roman" w:eastAsia="Times New Roman" w:hAnsi="Times New Roman"/>
          <w:sz w:val="21"/>
          <w:szCs w:val="21"/>
          <w:color w:val="auto"/>
        </w:rPr>
      </w:pPr>
    </w:p>
    <w:p>
      <w:pPr>
        <w:jc w:val="both"/>
        <w:ind w:left="200" w:right="219" w:firstLine="657"/>
        <w:spacing w:after="0" w:line="250" w:lineRule="auto"/>
        <w:tabs>
          <w:tab w:leader="none" w:pos="149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Contribution</w:t>
      </w:r>
      <w:r>
        <w:rPr>
          <w:rFonts w:ascii="Times New Roman" w:cs="Times New Roman" w:eastAsia="Times New Roman" w:hAnsi="Times New Roman"/>
          <w:sz w:val="21"/>
          <w:szCs w:val="21"/>
          <w:color w:val="auto"/>
        </w:rPr>
        <w:t>. To the fullest extent permissible under applicable law, if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indemnification provided for in this Agreement is unavailable to Indemnitee for any reason, the Corporation, in lieu of indemnifying Indemnitee, shall contribute to the amount incurred by Indemnitee, whether for judgments, fines, penalties, amounts paid or to be paid in settlement, and/or for Expenses, in connection with any Claim relating to an indemnifiable event under this Agreement, in such proportion as is deemed fair and reasonable in light of all of the circumstances</w:t>
      </w:r>
    </w:p>
    <w:p>
      <w:pPr>
        <w:spacing w:after="0" w:line="16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51" w:name="page52"/>
    <w:bookmarkEnd w:id="51"/>
    <w:p>
      <w:pPr>
        <w:ind w:left="7800"/>
        <w:spacing w:after="0"/>
        <w:rPr>
          <w:sz w:val="20"/>
          <w:szCs w:val="20"/>
          <w:color w:val="auto"/>
        </w:rPr>
      </w:pPr>
      <w:r>
        <w:rPr>
          <w:rFonts w:ascii="Times New Roman" w:cs="Times New Roman" w:eastAsia="Times New Roman" w:hAnsi="Times New Roman"/>
          <w:sz w:val="17"/>
          <w:szCs w:val="17"/>
          <w:b w:val="1"/>
          <w:bCs w:val="1"/>
          <w:color w:val="auto"/>
        </w:rPr>
        <w:t>Exhibit 10(a)</w:t>
      </w:r>
    </w:p>
    <w:p>
      <w:pPr>
        <w:spacing w:after="0" w:line="231"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in order to reflect (a) the relative benefits received by the Corporation and Indemnitee as a result of the event(s) and/or transaction(s) giving rise to such Claim; and/or (b) the relative fault of the Corporation and its Subsidiaries (and their respective directors, officers, employees, and agents) and Indemnitee in connection with such event(s) and/or transaction(s). The Corporation hereby agrees to fully indemnify and hold harmless Indemnitee from any Claims of contribution which may be brought by officers, directors, or employees of the Corporation (other than Indemnitee) who may be jointly liable with Indemnitee. Nothing in this Section shall require the Corporation to make any contribution or other payment prohibited by applicable law.</w:t>
      </w:r>
    </w:p>
    <w:p>
      <w:pPr>
        <w:spacing w:after="0" w:line="201" w:lineRule="exact"/>
        <w:rPr>
          <w:sz w:val="20"/>
          <w:szCs w:val="20"/>
          <w:color w:val="auto"/>
        </w:rPr>
      </w:pPr>
    </w:p>
    <w:p>
      <w:pPr>
        <w:jc w:val="both"/>
        <w:ind w:left="200" w:right="219" w:firstLine="657"/>
        <w:spacing w:after="0" w:line="244" w:lineRule="auto"/>
        <w:tabs>
          <w:tab w:leader="none" w:pos="149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Liability Insurance</w:t>
      </w:r>
      <w:r>
        <w:rPr>
          <w:rFonts w:ascii="Times New Roman" w:cs="Times New Roman" w:eastAsia="Times New Roman" w:hAnsi="Times New Roman"/>
          <w:sz w:val="21"/>
          <w:szCs w:val="21"/>
          <w:color w:val="auto"/>
        </w:rPr>
        <w:t>. The Corporation shall use commercially reasonable efforts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maintain in effect a policy or policies of directors’ and officers’ liability insurance providing coverage that is at least substantially comparable in scope and amount to that provided by the Corporation’s current policies of directors’ and officers’ liability insurance. Indemnitee shall be named as an insured in such manner as to provide Indemnitee the same rights and benefits as are provided to the most favorably insured of the Corporation’s directors or officers by such policy or policies. The Corporation shall provide to Indemnitee copies of all directors’ and officers’ liability insurance applications, binders, policies, declarations, endorsements, and other related materials upon request. The Corporation’s obligation to use commercially reasonable efforts to maintain the policy(ies) of insurance described in this Section for Indemnitee shall continue for at least six (6) years after Indemnitee ceases to serve as a director or officer of the Corporation or any of its Subsidiaries. If, at the time of the receipt of a notice of a Claim pursuant to the terms of this Agreement, the Corporation has directors’ and officers’ liability insurance in effect, the Corporation shall give prompt notice of the commencement of such Claim to the insurers in accordance with the procedures set forth in the respective policies. The Corporation shall thereafter take all necessary or desirable action to cause such insurers to pay, on behalf of the Indemnitee, all amounts payable as a result of such Claim in accordance with the terms of such policies.</w:t>
      </w:r>
    </w:p>
    <w:p>
      <w:pPr>
        <w:spacing w:after="0" w:line="200" w:lineRule="exact"/>
        <w:rPr>
          <w:rFonts w:ascii="Times New Roman" w:cs="Times New Roman" w:eastAsia="Times New Roman" w:hAnsi="Times New Roman"/>
          <w:sz w:val="21"/>
          <w:szCs w:val="21"/>
          <w:color w:val="auto"/>
        </w:rPr>
      </w:pPr>
    </w:p>
    <w:p>
      <w:pPr>
        <w:jc w:val="both"/>
        <w:ind w:left="200" w:right="219" w:firstLine="657"/>
        <w:spacing w:after="0" w:line="244" w:lineRule="auto"/>
        <w:tabs>
          <w:tab w:leader="none" w:pos="149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Scope of Agreement</w:t>
      </w:r>
      <w:r>
        <w:rPr>
          <w:rFonts w:ascii="Times New Roman" w:cs="Times New Roman" w:eastAsia="Times New Roman" w:hAnsi="Times New Roman"/>
          <w:sz w:val="21"/>
          <w:szCs w:val="21"/>
          <w:color w:val="auto"/>
        </w:rPr>
        <w:t>. The rights of Indemnitee pursuant to this Agreement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addition to, and shall not be deemed exclusive of, any other rights Indemnitee may have under any provision of the Corporation’s Articles of Incorporation, Bylaws, any agreement, any vote of shareholders or disinterested directors, any policy of directors’ and officers’ liability insurance, or the laws of the State of Michigan or other applicable law, both as to action in Indemnitee’s official capacity and as to action in another capacity while serving as a director or officer of the Corporation. To the fullest extent permitted by applicable law, Indemnitee shall be entitled to the most favorable rights of indemnification and advancement of Expenses available from any such source. No amendment or repeal of the Corporation’s Articles of Incorporation or Bylaws shall adversely affect Indemnitee’s rights under this Agreement. The Corporation hereby acknowledges that Indemnitee may have certain rights to indemnification and advancement of expenses provided by other persons or entities. The Corporation hereby agrees that (a) the Corporation is the indemnitor of first resort with respect to any request for indemnification or advancement of Expenses made pursuant to this Agreement, (b) the Corporation shall be primarily liable for indemnification and advancement obligations under this Agreement, and (c) subject to Section 6 and the Corporation’s rights of subrogation under Section 12, the Corporation shall be required to advance the full amount of Expenses and shall be liable for all Expenses, judgments, penalties, fines, and amounts paid in settlement for which Indemnitee is entitled to indemnification under</w:t>
      </w:r>
    </w:p>
    <w:p>
      <w:pPr>
        <w:spacing w:after="0" w:line="1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52" w:name="page53"/>
    <w:bookmarkEnd w:id="52"/>
    <w:p>
      <w:pPr>
        <w:ind w:left="7800"/>
        <w:spacing w:after="0"/>
        <w:rPr>
          <w:sz w:val="20"/>
          <w:szCs w:val="20"/>
          <w:color w:val="auto"/>
        </w:rPr>
      </w:pPr>
      <w:r>
        <w:rPr>
          <w:rFonts w:ascii="Times New Roman" w:cs="Times New Roman" w:eastAsia="Times New Roman" w:hAnsi="Times New Roman"/>
          <w:sz w:val="17"/>
          <w:szCs w:val="17"/>
          <w:b w:val="1"/>
          <w:bCs w:val="1"/>
          <w:color w:val="auto"/>
        </w:rPr>
        <w:t>Exhibit 10(a)</w:t>
      </w:r>
    </w:p>
    <w:p>
      <w:pPr>
        <w:spacing w:after="0" w:line="231"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this Agreement, without requiring Indemnitee first to seek recovery from any other person or entity or insurer; provided that Indemnitee shall not be entitled to receive duplicative payment for the same Expenses or other amounts from the Corporation and any other source.</w:t>
      </w:r>
    </w:p>
    <w:p>
      <w:pPr>
        <w:spacing w:after="0" w:line="196" w:lineRule="exact"/>
        <w:rPr>
          <w:sz w:val="20"/>
          <w:szCs w:val="20"/>
          <w:color w:val="auto"/>
        </w:rPr>
      </w:pPr>
    </w:p>
    <w:p>
      <w:pPr>
        <w:jc w:val="both"/>
        <w:ind w:left="200" w:right="219" w:firstLine="657"/>
        <w:spacing w:after="0" w:line="238" w:lineRule="auto"/>
        <w:tabs>
          <w:tab w:leader="none" w:pos="14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 Termination and Waiver</w:t>
      </w:r>
      <w:r>
        <w:rPr>
          <w:rFonts w:ascii="Times New Roman" w:cs="Times New Roman" w:eastAsia="Times New Roman" w:hAnsi="Times New Roman"/>
          <w:sz w:val="22"/>
          <w:szCs w:val="22"/>
          <w:color w:val="auto"/>
        </w:rPr>
        <w:t>. This Agreement may be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modified, or terminated and any of the terms and conditions of this Agreement may be waived only by the written consent of both parties. The failure of either party at any time or times to require performance of any provisions of this Agreement shall in no manner affect the right of such party at any later time to enforce the same.</w:t>
      </w:r>
    </w:p>
    <w:p>
      <w:pPr>
        <w:spacing w:after="0" w:line="203" w:lineRule="exact"/>
        <w:rPr>
          <w:rFonts w:ascii="Times New Roman" w:cs="Times New Roman" w:eastAsia="Times New Roman" w:hAnsi="Times New Roman"/>
          <w:sz w:val="22"/>
          <w:szCs w:val="22"/>
          <w:color w:val="auto"/>
        </w:rPr>
      </w:pPr>
    </w:p>
    <w:p>
      <w:pPr>
        <w:jc w:val="both"/>
        <w:ind w:left="200" w:right="219" w:firstLine="657"/>
        <w:spacing w:after="0" w:line="232" w:lineRule="auto"/>
        <w:tabs>
          <w:tab w:leader="none" w:pos="14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Binding Effect and Assignment</w:t>
      </w:r>
      <w:r>
        <w:rPr>
          <w:rFonts w:ascii="Times New Roman" w:cs="Times New Roman" w:eastAsia="Times New Roman" w:hAnsi="Times New Roman"/>
          <w:sz w:val="22"/>
          <w:szCs w:val="22"/>
          <w:color w:val="auto"/>
        </w:rPr>
        <w:t>. This Agreement shall be binding upon and inure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benefit of the Indemnitee and his or her spouse, personal representatives, heirs, executors, administrators, and assigns, and the Corporation and its successors and assigns, including any direct or indirect successor of the Corporation by purchase, merger, consolidation, or otherwise to all or substantially all of the business and/or assets of the Corporation; provided, however, that no assignment of any rights or delegation of obligations contained in this Agreement may be made by either party without the express written consent of the other party. The Corporation shall require and cause any successor (whether direct or indirect by purchase, merger, consolidation, or otherwise) to all, substantially all, or a substantial part of the business and/or assets of the Corporation, by written agreement in form and substance satisfactory to Indemnitee, to expressly assume and agree to perform this Agreement in the same manner and to the same extent that the Corporation would be required to perform if no such succession had taken place. This Agreement shall continue in effect while Indemnitee is a director or officer of the Corporation or any of its Subsidiaries and thereafter so long as Indemnitee may be subject to any possible Claim (including any rights of appeal thereto) and throughout the pendency of any proceeding (including any rights of appeal thereto) commenced by Indemnitee to enforce or interpret his or her rights under this Agreement.</w:t>
      </w:r>
    </w:p>
    <w:p>
      <w:pPr>
        <w:spacing w:after="0" w:line="216" w:lineRule="exact"/>
        <w:rPr>
          <w:rFonts w:ascii="Times New Roman" w:cs="Times New Roman" w:eastAsia="Times New Roman" w:hAnsi="Times New Roman"/>
          <w:sz w:val="22"/>
          <w:szCs w:val="22"/>
          <w:color w:val="auto"/>
        </w:rPr>
      </w:pPr>
    </w:p>
    <w:p>
      <w:pPr>
        <w:jc w:val="both"/>
        <w:ind w:left="200" w:right="219" w:firstLine="657"/>
        <w:spacing w:after="0" w:line="235" w:lineRule="auto"/>
        <w:tabs>
          <w:tab w:leader="none" w:pos="14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 Consent to Jurisdiction</w:t>
      </w:r>
      <w:r>
        <w:rPr>
          <w:rFonts w:ascii="Times New Roman" w:cs="Times New Roman" w:eastAsia="Times New Roman" w:hAnsi="Times New Roman"/>
          <w:sz w:val="22"/>
          <w:szCs w:val="22"/>
          <w:color w:val="auto"/>
        </w:rPr>
        <w:t>. This Agreement shall be governed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construed and enforced in accordance with, the laws of the State of Michigan, without regard to its conflict of laws rules. The Corporation and Indemnitee hereby irrevocably and unconditionally (a) agree that any court action or proceeding arising out of or in connection with this Agreement shall be brought only in the courts of the State of Michigan, (b) consent to submit to the exclusive jurisdiction of the Michigan courts for purposes of any court action or proceeding arising out of or in connection with this Agreement, and (c) waive any objection to the laying of venue of any such court action or proceeding in the courts of the State of Michigan. Nothing in this Section shall limit Indemnitee’s right to seek arbitration under Section 9.</w:t>
      </w:r>
    </w:p>
    <w:p>
      <w:pPr>
        <w:spacing w:after="0" w:line="200" w:lineRule="exact"/>
        <w:rPr>
          <w:rFonts w:ascii="Times New Roman" w:cs="Times New Roman" w:eastAsia="Times New Roman" w:hAnsi="Times New Roman"/>
          <w:sz w:val="22"/>
          <w:szCs w:val="22"/>
          <w:color w:val="auto"/>
        </w:rPr>
      </w:pPr>
    </w:p>
    <w:p>
      <w:pPr>
        <w:jc w:val="both"/>
        <w:ind w:left="200" w:right="219" w:firstLine="657"/>
        <w:spacing w:after="0" w:line="241" w:lineRule="auto"/>
        <w:tabs>
          <w:tab w:leader="none" w:pos="14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Any provision of this Agreement that may be prohibited by law,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held invalid by a court of competent jurisdiction, shall be ineffective only to the extent of such prohibition or invalidity and shall not invalidate or otherwise render ineffective the remaining provisions of this Agreement.</w:t>
      </w:r>
    </w:p>
    <w:p>
      <w:pPr>
        <w:spacing w:after="0" w:line="198" w:lineRule="exact"/>
        <w:rPr>
          <w:rFonts w:ascii="Times New Roman" w:cs="Times New Roman" w:eastAsia="Times New Roman" w:hAnsi="Times New Roman"/>
          <w:sz w:val="22"/>
          <w:szCs w:val="22"/>
          <w:color w:val="auto"/>
        </w:rPr>
      </w:pPr>
    </w:p>
    <w:p>
      <w:pPr>
        <w:jc w:val="both"/>
        <w:ind w:left="200" w:right="219" w:firstLine="657"/>
        <w:spacing w:after="0" w:line="286" w:lineRule="auto"/>
        <w:tabs>
          <w:tab w:leader="none" w:pos="1496"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Interest on Unpaid Amounts</w:t>
      </w:r>
      <w:r>
        <w:rPr>
          <w:rFonts w:ascii="Times New Roman" w:cs="Times New Roman" w:eastAsia="Times New Roman" w:hAnsi="Times New Roman"/>
          <w:sz w:val="21"/>
          <w:szCs w:val="21"/>
          <w:color w:val="auto"/>
        </w:rPr>
        <w:t>. If any payment to which Indemnitee is entitled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this Agreement is not paid by the Corporation on a timely basis, interest shall accrue thereon</w:t>
      </w:r>
    </w:p>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53" w:name="page54"/>
    <w:bookmarkEnd w:id="53"/>
    <w:p>
      <w:pPr>
        <w:ind w:left="7800"/>
        <w:spacing w:after="0"/>
        <w:rPr>
          <w:sz w:val="20"/>
          <w:szCs w:val="20"/>
          <w:color w:val="auto"/>
        </w:rPr>
      </w:pPr>
      <w:r>
        <w:rPr>
          <w:rFonts w:ascii="Times New Roman" w:cs="Times New Roman" w:eastAsia="Times New Roman" w:hAnsi="Times New Roman"/>
          <w:sz w:val="17"/>
          <w:szCs w:val="17"/>
          <w:b w:val="1"/>
          <w:bCs w:val="1"/>
          <w:color w:val="auto"/>
        </w:rPr>
        <w:t>Exhibit 10(a)</w:t>
      </w:r>
    </w:p>
    <w:p>
      <w:pPr>
        <w:spacing w:after="0" w:line="2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at the then-applicable legal rate under Michigan law for each day the payment is past due.</w:t>
      </w:r>
    </w:p>
    <w:p>
      <w:pPr>
        <w:spacing w:after="0" w:line="229" w:lineRule="exact"/>
        <w:rPr>
          <w:sz w:val="20"/>
          <w:szCs w:val="20"/>
          <w:color w:val="auto"/>
        </w:rPr>
      </w:pPr>
    </w:p>
    <w:p>
      <w:pPr>
        <w:jc w:val="both"/>
        <w:ind w:left="200" w:right="219" w:firstLine="657"/>
        <w:spacing w:after="0" w:line="235" w:lineRule="auto"/>
        <w:tabs>
          <w:tab w:leader="none" w:pos="14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All notices, requests, demands, and other communications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in writing and shall be deemed duly given (a) if delivered by hand, upon receipt, (b) if sent by nationally recognized overnight courier service, one business day after deposit, or (c) if sent by certified or registered mail, return receipt requested, three business days after deposit. Notice to the Corporation shall be directed to UFP Industries, Inc. at its principal executive offices, Attention: Corporate Secretary, or to such other address as the Corporation shall designate in writing to Indemnitee. Notice to Indemnitee shall be directed to the address shown on the signature page of this Agreement or to such other address as Indemnitee shall designate in writing to the Corporation.</w:t>
      </w:r>
    </w:p>
    <w:p>
      <w:pPr>
        <w:spacing w:after="0" w:line="200" w:lineRule="exact"/>
        <w:rPr>
          <w:rFonts w:ascii="Times New Roman" w:cs="Times New Roman" w:eastAsia="Times New Roman" w:hAnsi="Times New Roman"/>
          <w:sz w:val="22"/>
          <w:szCs w:val="22"/>
          <w:color w:val="auto"/>
        </w:rPr>
      </w:pPr>
    </w:p>
    <w:p>
      <w:pPr>
        <w:jc w:val="both"/>
        <w:ind w:left="200" w:right="219" w:firstLine="657"/>
        <w:spacing w:after="0" w:line="246" w:lineRule="auto"/>
        <w:tabs>
          <w:tab w:leader="none" w:pos="1496"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Vesting of Rights; No Diminishment</w:t>
      </w:r>
      <w:r>
        <w:rPr>
          <w:rFonts w:ascii="Times New Roman" w:cs="Times New Roman" w:eastAsia="Times New Roman" w:hAnsi="Times New Roman"/>
          <w:sz w:val="21"/>
          <w:szCs w:val="21"/>
          <w:color w:val="auto"/>
        </w:rPr>
        <w:t>. Indemnitee’s rights under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vest upon execution of this Agreement and may not be diminished by any subsequent amendment to the Corporation’s Articles of Incorporation, Bylaws, or this Agreement (except by mutual written consent of both parties). In the event of any change after the date of this Agreement in any applicable law, statute, or rule that expands the right of the Corporation to indemnify a director or officer, it is the intent of the parties that Indemnitee shall enjoy by this Agreement the greater benefits afforded by such change. In the event of any change in any applicable law, statute, or rule that narrows the right of the Corporation to indemnify a director or officer, such change, to the extent not otherwise required by such law, statute, or rule to be applied to this Agreement, shall have no effect on this Agreement or the parties’ rights and obligations pursuant to this Agreement.</w:t>
      </w:r>
    </w:p>
    <w:p>
      <w:pPr>
        <w:spacing w:after="0" w:line="197" w:lineRule="exact"/>
        <w:rPr>
          <w:rFonts w:ascii="Times New Roman" w:cs="Times New Roman" w:eastAsia="Times New Roman" w:hAnsi="Times New Roman"/>
          <w:sz w:val="21"/>
          <w:szCs w:val="21"/>
          <w:color w:val="auto"/>
        </w:rPr>
      </w:pPr>
    </w:p>
    <w:p>
      <w:pPr>
        <w:jc w:val="both"/>
        <w:ind w:left="200" w:right="219" w:firstLine="657"/>
        <w:spacing w:after="0" w:line="246" w:lineRule="auto"/>
        <w:tabs>
          <w:tab w:leader="none" w:pos="14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Interpretation</w:t>
      </w:r>
      <w:r>
        <w:rPr>
          <w:rFonts w:ascii="Times New Roman" w:cs="Times New Roman" w:eastAsia="Times New Roman" w:hAnsi="Times New Roman"/>
          <w:sz w:val="22"/>
          <w:szCs w:val="22"/>
          <w:color w:val="auto"/>
        </w:rPr>
        <w:t>. The descriptive headings of this Agreement are inserted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convenience only and do not constitute a substantive part of this Agreement. The use of the word “including” in this Agreement shall be by way of example rather than by limitation.</w:t>
      </w:r>
    </w:p>
    <w:p>
      <w:pPr>
        <w:spacing w:after="0" w:line="194" w:lineRule="exact"/>
        <w:rPr>
          <w:rFonts w:ascii="Times New Roman" w:cs="Times New Roman" w:eastAsia="Times New Roman" w:hAnsi="Times New Roman"/>
          <w:sz w:val="22"/>
          <w:szCs w:val="22"/>
          <w:color w:val="auto"/>
        </w:rPr>
      </w:pPr>
    </w:p>
    <w:p>
      <w:pPr>
        <w:jc w:val="both"/>
        <w:ind w:left="200" w:right="219" w:firstLine="657"/>
        <w:spacing w:after="0" w:line="241" w:lineRule="auto"/>
        <w:tabs>
          <w:tab w:leader="none" w:pos="14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by electronic signature or delivery of a counterpart in PDF format), each of which shall for all purposes be deemed to be an original but all of which together shall constitute one and the same Agreement.</w:t>
      </w:r>
    </w:p>
    <w:p>
      <w:pPr>
        <w:spacing w:after="0" w:line="20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54" w:name="page55"/>
    <w:bookmarkEnd w:id="54"/>
    <w:p>
      <w:pPr>
        <w:ind w:left="7800"/>
        <w:spacing w:after="0"/>
        <w:rPr>
          <w:sz w:val="20"/>
          <w:szCs w:val="20"/>
          <w:color w:val="auto"/>
        </w:rPr>
      </w:pPr>
      <w:r>
        <w:rPr>
          <w:rFonts w:ascii="Times New Roman" w:cs="Times New Roman" w:eastAsia="Times New Roman" w:hAnsi="Times New Roman"/>
          <w:sz w:val="17"/>
          <w:szCs w:val="17"/>
          <w:b w:val="1"/>
          <w:bCs w:val="1"/>
          <w:color w:val="auto"/>
        </w:rPr>
        <w:t>Exhibit 10(a)</w:t>
      </w:r>
    </w:p>
    <w:p>
      <w:pPr>
        <w:spacing w:after="0" w:line="227"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color w:val="auto"/>
        </w:rPr>
        <w:t>INTENDING TO BE LEGALLY BOUND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parties have executed this Indemnity Agreement as of the date first written above.</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19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CORPORATION:</w:t>
            </w: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700" w:type="dxa"/>
            <w:vAlign w:val="bottom"/>
            <w:gridSpan w:val="13"/>
          </w:tcPr>
          <w:p>
            <w:pPr>
              <w:ind w:left="640"/>
              <w:spacing w:after="0"/>
              <w:rPr>
                <w:sz w:val="20"/>
                <w:szCs w:val="20"/>
                <w:color w:val="auto"/>
              </w:rPr>
            </w:pPr>
            <w:r>
              <w:rPr>
                <w:rFonts w:ascii="Times New Roman" w:cs="Times New Roman" w:eastAsia="Times New Roman" w:hAnsi="Times New Roman"/>
                <w:sz w:val="22"/>
                <w:szCs w:val="22"/>
                <w:color w:val="auto"/>
              </w:rPr>
              <w:t>INDEMNITEE:</w:t>
            </w:r>
          </w:p>
        </w:tc>
      </w:tr>
      <w:tr>
        <w:trPr>
          <w:trHeight w:val="286"/>
        </w:trPr>
        <w:tc>
          <w:tcPr>
            <w:tcW w:w="196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UFP Industries, Inc.</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77"/>
        </w:trPr>
        <w:tc>
          <w:tcPr>
            <w:tcW w:w="19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6"/>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R.</w:t>
            </w:r>
          </w:p>
        </w:tc>
        <w:tc>
          <w:tcPr>
            <w:tcW w:w="20" w:type="dxa"/>
            <w:vAlign w:val="bottom"/>
          </w:tcPr>
          <w:p>
            <w:pPr>
              <w:spacing w:after="0"/>
              <w:rPr>
                <w:sz w:val="23"/>
                <w:szCs w:val="23"/>
                <w:color w:val="auto"/>
              </w:rPr>
            </w:pP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Paul Guerre</w:t>
            </w:r>
          </w:p>
        </w:tc>
        <w:tc>
          <w:tcPr>
            <w:tcW w:w="2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r>
      <w:tr>
        <w:trPr>
          <w:trHeight w:val="486"/>
        </w:trPr>
        <w:tc>
          <w:tcPr>
            <w:tcW w:w="19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Its: Secretary</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00" w:type="dxa"/>
            <w:vAlign w:val="bottom"/>
            <w:gridSpan w:val="13"/>
          </w:tcPr>
          <w:p>
            <w:pPr>
              <w:ind w:left="640"/>
              <w:spacing w:after="0"/>
              <w:rPr>
                <w:sz w:val="20"/>
                <w:szCs w:val="20"/>
                <w:color w:val="auto"/>
              </w:rPr>
            </w:pPr>
            <w:r>
              <w:rPr>
                <w:rFonts w:ascii="Times New Roman" w:cs="Times New Roman" w:eastAsia="Times New Roman" w:hAnsi="Times New Roman"/>
                <w:sz w:val="22"/>
                <w:szCs w:val="22"/>
                <w:color w:val="auto"/>
              </w:rPr>
              <w:t>Address for Notices:</w:t>
            </w:r>
          </w:p>
        </w:tc>
      </w:tr>
      <w:tr>
        <w:trPr>
          <w:trHeight w:val="4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80" w:type="dxa"/>
            <w:vAlign w:val="bottom"/>
            <w:gridSpan w:val="7"/>
          </w:tcPr>
          <w:p>
            <w:pPr>
              <w:jc w:val="right"/>
              <w:ind w:right="32"/>
              <w:spacing w:after="0"/>
              <w:rPr>
                <w:sz w:val="20"/>
                <w:szCs w:val="20"/>
                <w:color w:val="auto"/>
              </w:rPr>
            </w:pPr>
            <w:r>
              <w:rPr>
                <w:rFonts w:ascii="Times New Roman" w:cs="Times New Roman" w:eastAsia="Times New Roman" w:hAnsi="Times New Roman"/>
                <w:sz w:val="22"/>
                <w:szCs w:val="22"/>
                <w:color w:val="auto"/>
              </w:rPr>
              <w:t>-11-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51"/>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57" w:right="1440" w:bottom="1440" w:gutter="0" w:footer="0" w:header="0"/>
        </w:sectPr>
      </w:pPr>
    </w:p>
    <w:bookmarkStart w:id="55" w:name="page56"/>
    <w:bookmarkEnd w:id="5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William D. Schwartz, Jr., certify that:</w:t>
      </w:r>
    </w:p>
    <w:p>
      <w:pPr>
        <w:spacing w:after="0" w:line="225" w:lineRule="exact"/>
        <w:rPr>
          <w:sz w:val="20"/>
          <w:szCs w:val="20"/>
          <w:color w:val="auto"/>
        </w:rPr>
      </w:pPr>
    </w:p>
    <w:p>
      <w:pPr>
        <w:ind w:left="540" w:hanging="490"/>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November 4, 2026</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William D. Schwartz, Jr.</w:t>
            </w:r>
          </w:p>
        </w:tc>
      </w:tr>
      <w:tr>
        <w:trPr>
          <w:trHeight w:val="20"/>
        </w:trPr>
        <w:tc>
          <w:tcPr>
            <w:tcW w:w="40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D. Schwartz, Jr.,</w:t>
            </w:r>
          </w:p>
        </w:tc>
      </w:tr>
      <w:tr>
        <w:trPr>
          <w:trHeight w:val="234"/>
        </w:trPr>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r>
        <w:trPr>
          <w:trHeight w:val="776"/>
        </w:trPr>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56" w:name="page57"/>
    <w:bookmarkEnd w:id="5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November 4, 2026</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1"/>
        </w:trPr>
        <w:tc>
          <w:tcPr>
            <w:tcW w:w="46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tc>
      </w:tr>
      <w:tr>
        <w:trPr>
          <w:trHeight w:val="776"/>
        </w:trPr>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57" w:name="page58"/>
    <w:bookmarkEnd w:id="5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 William D. Schwartz, Jr., Chief Executive Officer and Principal Executive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September 26, 2026,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jc w:val="both"/>
        <w:ind w:left="620" w:right="79" w:hanging="570"/>
        <w:spacing w:after="0" w:line="266" w:lineRule="auto"/>
        <w:tabs>
          <w:tab w:leader="none" w:pos="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September 26, 2026, fairly presents, in all material respects, the financial condition and results of operations of UFP Industries, Inc.</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1"/>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William D. Schwartz, Jr.</w:t>
            </w:r>
          </w:p>
        </w:tc>
      </w:tr>
      <w:tr>
        <w:trPr>
          <w:trHeight w:val="21"/>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D. Schwartz, Jr.,</w:t>
            </w:r>
          </w:p>
        </w:tc>
      </w:tr>
      <w:tr>
        <w:trPr>
          <w:trHeight w:val="234"/>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8" w:name="page59"/>
    <w:bookmarkEnd w:id="5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Michael R. Cole, Chief Financial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September 26, 2026,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jc w:val="both"/>
        <w:ind w:left="620" w:right="79" w:hanging="570"/>
        <w:spacing w:after="0" w:line="266" w:lineRule="auto"/>
        <w:tabs>
          <w:tab w:leader="none" w:pos="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September 26, 2026, fairly presents, in all material respects, the financial condition and results of operations of UFP Industries, Inc.</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1"/>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21"/>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upperLetter"/>
      <w:start w:val="1"/>
    </w:lvl>
  </w:abstractNum>
  <w:abstractNum w:abstractNumId="3">
    <w:nsid w:val="737B8DDC"/>
    <w:multiLevelType w:val="hybridMultilevel"/>
    <w:lvl w:ilvl="0">
      <w:lvlJc w:val="left"/>
      <w:lvlText w:val="%1."/>
      <w:numFmt w:val="upperLetter"/>
      <w:start w:val="2"/>
    </w:lvl>
  </w:abstractNum>
  <w:abstractNum w:abstractNumId="4">
    <w:nsid w:val="6CEAF087"/>
    <w:multiLevelType w:val="hybridMultilevel"/>
    <w:lvl w:ilvl="0">
      <w:lvlJc w:val="left"/>
      <w:lvlText w:val="%1."/>
      <w:numFmt w:val="upperLetter"/>
      <w:start w:val="3"/>
    </w:lvl>
  </w:abstractNum>
  <w:abstractNum w:abstractNumId="5">
    <w:nsid w:val="22221A70"/>
    <w:multiLevelType w:val="hybridMultilevel"/>
    <w:lvl w:ilvl="0">
      <w:lvlJc w:val="left"/>
      <w:lvlText w:val="%1."/>
      <w:numFmt w:val="upperLetter"/>
      <w:start w:val="4"/>
    </w:lvl>
  </w:abstractNum>
  <w:abstractNum w:abstractNumId="6">
    <w:nsid w:val="4516DDE9"/>
    <w:multiLevelType w:val="hybridMultilevel"/>
    <w:lvl w:ilvl="0">
      <w:lvlJc w:val="left"/>
      <w:lvlText w:val="%1."/>
      <w:numFmt w:val="upperLetter"/>
      <w:start w:val="5"/>
    </w:lvl>
  </w:abstractNum>
  <w:abstractNum w:abstractNumId="7">
    <w:nsid w:val="3006C83E"/>
    <w:multiLevelType w:val="hybridMultilevel"/>
    <w:lvl w:ilvl="0">
      <w:lvlJc w:val="left"/>
      <w:lvlText w:val="%1."/>
      <w:numFmt w:val="upperLetter"/>
      <w:start w:val="6"/>
    </w:lvl>
  </w:abstractNum>
  <w:abstractNum w:abstractNumId="8">
    <w:nsid w:val="614FD4A1"/>
    <w:multiLevelType w:val="hybridMultilevel"/>
    <w:lvl w:ilvl="0">
      <w:lvlJc w:val="left"/>
      <w:lvlText w:val="%1."/>
      <w:numFmt w:val="upperLetter"/>
      <w:start w:val="7"/>
    </w:lvl>
  </w:abstractNum>
  <w:abstractNum w:abstractNumId="9">
    <w:nsid w:val="419AC241"/>
    <w:multiLevelType w:val="hybridMultilevel"/>
    <w:lvl w:ilvl="0">
      <w:lvlJc w:val="left"/>
      <w:lvlText w:val="%1."/>
      <w:numFmt w:val="upperLetter"/>
      <w:start w:val="8"/>
    </w:lvl>
  </w:abstractNum>
  <w:abstractNum w:abstractNumId="10">
    <w:nsid w:val="5577F8E1"/>
    <w:multiLevelType w:val="hybridMultilevel"/>
    <w:lvl w:ilvl="0">
      <w:lvlJc w:val="left"/>
      <w:lvlText w:val="%1."/>
      <w:numFmt w:val="upperLetter"/>
      <w:start w:val="9"/>
    </w:lvl>
  </w:abstractNum>
  <w:abstractNum w:abstractNumId="11">
    <w:nsid w:val="440BADFC"/>
    <w:multiLevelType w:val="hybridMultilevel"/>
    <w:lvl w:ilvl="0">
      <w:lvlJc w:val="left"/>
      <w:lvlText w:val="%1."/>
      <w:numFmt w:val="upperLetter"/>
      <w:start w:val="10"/>
    </w:lvl>
  </w:abstractNum>
  <w:abstractNum w:abstractNumId="12">
    <w:nsid w:val="5072367"/>
    <w:multiLevelType w:val="hybridMultilevel"/>
    <w:lvl w:ilvl="0">
      <w:lvlJc w:val="left"/>
      <w:lvlText w:val="%1."/>
      <w:numFmt w:val="upperLetter"/>
      <w:start w:val="1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lvl w:ilvl="1">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lvl w:ilvl="1">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1)"/>
      <w:numFmt w:val="lowerLetter"/>
      <w:start w:val="1"/>
    </w:lvl>
  </w:abstractNum>
  <w:abstractNum w:abstractNumId="35">
    <w:nsid w:val="38437FDB"/>
    <w:multiLevelType w:val="hybridMultilevel"/>
    <w:lvl w:ilvl="0">
      <w:lvlJc w:val="left"/>
      <w:lvlText w:val="(%1)"/>
      <w:numFmt w:val="lowerLetter"/>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10"/>
    </w:lvl>
    <w:lvl w:ilvl="1">
      <w:lvlJc w:val="left"/>
      <w:lvlText w:val="(%2)"/>
      <w:numFmt w:val="lowerLetter"/>
      <w:start w:val="1"/>
    </w:lvl>
  </w:abstractNum>
  <w:abstractNum w:abstractNumId="38">
    <w:nsid w:val="684A481A"/>
    <w:multiLevelType w:val="hybridMultilevel"/>
    <w:lvl w:ilvl="0">
      <w:lvlJc w:val="left"/>
      <w:lvlText w:val="%1"/>
      <w:numFmt w:val="decimal"/>
      <w:start w:val="31"/>
    </w:lvl>
    <w:lvl w:ilvl="1">
      <w:lvlJc w:val="left"/>
      <w:lvlText w:val="%2"/>
      <w:numFmt w:val="lowerLetter"/>
      <w:start w:val="1"/>
    </w:lvl>
  </w:abstractNum>
  <w:abstractNum w:abstractNumId="39">
    <w:nsid w:val="579478FE"/>
    <w:multiLevelType w:val="hybridMultilevel"/>
    <w:lvl w:ilvl="0">
      <w:lvlJc w:val="left"/>
      <w:lvlText w:val="(%1)"/>
      <w:numFmt w:val="lowerLetter"/>
      <w:start w:val="1"/>
    </w:lvl>
  </w:abstractNum>
  <w:abstractNum w:abstractNumId="40">
    <w:nsid w:val="749ABB43"/>
    <w:multiLevelType w:val="hybridMultilevel"/>
    <w:lvl w:ilvl="0">
      <w:lvlJc w:val="left"/>
      <w:lvlText w:val="%1"/>
      <w:numFmt w:val="decimal"/>
      <w:start w:val="32"/>
    </w:lvl>
    <w:lvl w:ilvl="1">
      <w:lvlJc w:val="left"/>
      <w:lvlText w:val="(%2)"/>
      <w:numFmt w:val="lowerLetter"/>
      <w:start w:val="1"/>
    </w:lvl>
  </w:abstractNum>
  <w:abstractNum w:abstractNumId="41">
    <w:nsid w:val="3DC240FB"/>
    <w:multiLevelType w:val="hybridMultilevel"/>
    <w:lvl w:ilvl="0">
      <w:lvlJc w:val="left"/>
      <w:lvlText w:val="%1"/>
      <w:numFmt w:val="decimal"/>
      <w:start w:val="104"/>
    </w:lvl>
  </w:abstractNum>
  <w:abstractNum w:abstractNumId="42">
    <w:nsid w:val="1BA026FA"/>
    <w:multiLevelType w:val="hybridMultilevel"/>
    <w:lvl w:ilvl="0">
      <w:lvlJc w:val="left"/>
      <w:lvlText w:val="%1."/>
      <w:numFmt w:val="upperLetter"/>
      <w:start w:val="1"/>
    </w:lvl>
  </w:abstractNum>
  <w:abstractNum w:abstractNumId="43">
    <w:nsid w:val="79A1DEAA"/>
    <w:multiLevelType w:val="hybridMultilevel"/>
    <w:lvl w:ilvl="0">
      <w:lvlJc w:val="left"/>
      <w:lvlText w:val="%1."/>
      <w:numFmt w:val="decimal"/>
      <w:start w:val="1"/>
    </w:lvl>
    <w:lvl w:ilvl="1">
      <w:lvlJc w:val="left"/>
      <w:lvlText w:val="(%2)"/>
      <w:numFmt w:val="lowerLetter"/>
      <w:start w:val="1"/>
    </w:lvl>
  </w:abstractNum>
  <w:abstractNum w:abstractNumId="44">
    <w:nsid w:val="75C6C33A"/>
    <w:multiLevelType w:val="hybridMultilevel"/>
    <w:lvl w:ilvl="0">
      <w:lvlJc w:val="left"/>
      <w:lvlText w:val="(%1)"/>
      <w:numFmt w:val="lowerLetter"/>
      <w:start w:val="2"/>
    </w:lvl>
    <w:lvl w:ilvl="1">
      <w:lvlJc w:val="left"/>
      <w:lvlText w:val="(%2)"/>
      <w:numFmt w:val="lowerRoman"/>
      <w:start w:val="1"/>
    </w:lvl>
  </w:abstractNum>
  <w:abstractNum w:abstractNumId="45">
    <w:nsid w:val="12E685FB"/>
    <w:multiLevelType w:val="hybridMultilevel"/>
    <w:lvl w:ilvl="0">
      <w:lvlJc w:val="left"/>
      <w:lvlText w:val="%1."/>
      <w:numFmt w:val="decimal"/>
      <w:start w:val="2"/>
    </w:lvl>
    <w:lvl w:ilvl="1">
      <w:lvlJc w:val="left"/>
      <w:lvlText w:val="(%2)"/>
      <w:numFmt w:val="lowerLetter"/>
      <w:start w:val="1"/>
    </w:lvl>
  </w:abstractNum>
  <w:abstractNum w:abstractNumId="46">
    <w:nsid w:val="70C6A529"/>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3"/>
    </w:lvl>
  </w:abstractNum>
  <w:abstractNum w:abstractNumId="47">
    <w:nsid w:val="520EED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8">
    <w:nsid w:val="374A3FE6"/>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49">
    <w:nsid w:val="4F4EF005"/>
    <w:multiLevelType w:val="hybridMultilevel"/>
    <w:lvl w:ilvl="0">
      <w:lvlJc w:val="left"/>
      <w:lvlText w:val="(%1)"/>
      <w:numFmt w:val="lowerLetter"/>
      <w:start w:val="3"/>
    </w:lvl>
    <w:lvl w:ilvl="1">
      <w:lvlJc w:val="left"/>
      <w:lvlText w:val="%2."/>
      <w:numFmt w:val="decimal"/>
      <w:start w:val="7"/>
    </w:lvl>
    <w:lvl w:ilvl="2">
      <w:lvlJc w:val="left"/>
      <w:lvlText w:val="(%3)"/>
      <w:numFmt w:val="lowerLetter"/>
      <w:start w:val="1"/>
    </w:lvl>
  </w:abstractNum>
  <w:abstractNum w:abstractNumId="50">
    <w:nsid w:val="23F9C13C"/>
    <w:multiLevelType w:val="hybridMultilevel"/>
    <w:lvl w:ilvl="0">
      <w:lvlJc w:val="left"/>
      <w:lvlText w:val="%1."/>
      <w:numFmt w:val="decimal"/>
      <w:start w:val="8"/>
    </w:lvl>
  </w:abstractNum>
  <w:abstractNum w:abstractNumId="51">
    <w:nsid w:val="649BB77C"/>
    <w:multiLevelType w:val="hybridMultilevel"/>
    <w:lvl w:ilvl="0">
      <w:lvlJc w:val="left"/>
      <w:lvlText w:val="%1."/>
      <w:numFmt w:val="decimal"/>
      <w:start w:val="11"/>
    </w:lvl>
  </w:abstractNum>
  <w:abstractNum w:abstractNumId="52">
    <w:nsid w:val="275AC794"/>
    <w:multiLevelType w:val="hybridMultilevel"/>
    <w:lvl w:ilvl="0">
      <w:lvlJc w:val="left"/>
      <w:lvlText w:val="%1."/>
      <w:numFmt w:val="decimal"/>
      <w:start w:val="16"/>
    </w:lvl>
  </w:abstractNum>
  <w:abstractNum w:abstractNumId="53">
    <w:nsid w:val="39386575"/>
    <w:multiLevelType w:val="hybridMultilevel"/>
    <w:lvl w:ilvl="0">
      <w:lvlJc w:val="left"/>
      <w:lvlText w:val="%1."/>
      <w:numFmt w:val="decimal"/>
      <w:start w:val="18"/>
    </w:lvl>
  </w:abstractNum>
  <w:abstractNum w:abstractNumId="54">
    <w:nsid w:val="1CF10FD8"/>
    <w:multiLevelType w:val="hybridMultilevel"/>
    <w:lvl w:ilvl="0">
      <w:lvlJc w:val="left"/>
      <w:lvlText w:val="%1."/>
      <w:numFmt w:val="decimal"/>
      <w:start w:val="23"/>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2026-11-04T10:47:24Z</dcterms:created>
  <dcterms:modified xsi:type="dcterms:W3CDTF">2026-11-04T10:47:24Z</dcterms:modified>
</cp:coreProperties>
</file>