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0"/>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366395</wp:posOffset>
            </wp:positionV>
            <wp:extent cx="6612255" cy="685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612255" cy="685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7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31" w:lineRule="exact"/>
        <w:rPr>
          <w:sz w:val="24"/>
          <w:szCs w:val="24"/>
          <w:color w:val="auto"/>
        </w:rPr>
      </w:pPr>
    </w:p>
    <w:p>
      <w:pPr>
        <w:jc w:val="center"/>
        <w:ind w:right="-19"/>
        <w:spacing w:after="0" w:line="368" w:lineRule="exact"/>
        <w:rPr>
          <w:sz w:val="20"/>
          <w:szCs w:val="20"/>
          <w:color w:val="auto"/>
        </w:rPr>
      </w:pPr>
      <w:r>
        <w:rPr>
          <w:rFonts w:ascii="Arial" w:cs="Arial" w:eastAsia="Arial" w:hAnsi="Arial"/>
          <w:sz w:val="32"/>
          <w:szCs w:val="32"/>
          <w:b w:val="1"/>
          <w:bCs w:val="1"/>
          <w:color w:val="auto"/>
        </w:rPr>
        <w:t>FORM 10</w:t>
      </w:r>
      <w:r>
        <w:rPr>
          <w:rFonts w:ascii="MS PGothic" w:cs="MS PGothic" w:eastAsia="MS PGothic" w:hAnsi="MS PGothic"/>
          <w:sz w:val="32"/>
          <w:szCs w:val="32"/>
          <w:b w:val="1"/>
          <w:bCs w:val="1"/>
          <w:color w:val="auto"/>
        </w:rPr>
        <w:t>‑</w:t>
      </w:r>
      <w:r>
        <w:rPr>
          <w:rFonts w:ascii="Arial" w:cs="Arial" w:eastAsia="Arial" w:hAnsi="Arial"/>
          <w:sz w:val="32"/>
          <w:szCs w:val="32"/>
          <w:b w:val="1"/>
          <w:bCs w:val="1"/>
          <w:color w:val="auto"/>
        </w:rPr>
        <w:t>Q</w:t>
      </w:r>
    </w:p>
    <w:p>
      <w:pPr>
        <w:spacing w:after="0" w:line="199" w:lineRule="exact"/>
        <w:rPr>
          <w:sz w:val="24"/>
          <w:szCs w:val="24"/>
          <w:color w:val="auto"/>
        </w:rPr>
      </w:pPr>
    </w:p>
    <w:p>
      <w:pPr>
        <w:ind w:left="3520" w:right="1440" w:hanging="3509"/>
        <w:spacing w:after="0" w:line="501" w:lineRule="auto"/>
        <w:tabs>
          <w:tab w:leader="none" w:pos="30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QUARTERLY REPORT PURSUANT TO SECTION 13 OR 15(d) OF THE SECURITIES EXCHANGE ACT OF 1934 For the quarterly period ended </w:t>
      </w:r>
      <w:r>
        <w:rPr>
          <w:rFonts w:ascii="Arial" w:cs="Arial" w:eastAsia="Arial" w:hAnsi="Arial"/>
          <w:sz w:val="18"/>
          <w:szCs w:val="18"/>
          <w:u w:val="single" w:color="auto"/>
          <w:color w:val="auto"/>
        </w:rPr>
        <w:t>March 31, 2018</w:t>
      </w:r>
    </w:p>
    <w:p>
      <w:pPr>
        <w:ind w:left="5080"/>
        <w:spacing w:after="0"/>
        <w:rPr>
          <w:rFonts w:ascii="MS PGothic" w:cs="MS PGothic" w:eastAsia="MS PGothic" w:hAnsi="MS PGothic"/>
          <w:sz w:val="18"/>
          <w:szCs w:val="18"/>
          <w:color w:val="auto"/>
        </w:rPr>
      </w:pPr>
      <w:r>
        <w:rPr>
          <w:rFonts w:ascii="Arial" w:cs="Arial" w:eastAsia="Arial" w:hAnsi="Arial"/>
          <w:sz w:val="18"/>
          <w:szCs w:val="18"/>
          <w:color w:val="auto"/>
        </w:rPr>
        <w:t>OR</w:t>
      </w:r>
    </w:p>
    <w:p>
      <w:pPr>
        <w:spacing w:after="0" w:line="239" w:lineRule="exact"/>
        <w:rPr>
          <w:sz w:val="24"/>
          <w:szCs w:val="24"/>
          <w:color w:val="auto"/>
        </w:rPr>
      </w:pPr>
    </w:p>
    <w:p>
      <w:pPr>
        <w:ind w:left="3960" w:right="1420" w:hanging="3949"/>
        <w:spacing w:after="0" w:line="311" w:lineRule="exact"/>
        <w:tabs>
          <w:tab w:leader="none" w:pos="312"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 xml:space="preserve">TRANSITION REPORT PURSUANT TO SECTION 13 OR 15(d) OF THE SECURITIES EXCHANGE ACT OF 1934 Commission File Number </w:t>
      </w:r>
      <w:r>
        <w:rPr>
          <w:rFonts w:ascii="Arial" w:cs="Arial" w:eastAsia="Arial" w:hAnsi="Arial"/>
          <w:sz w:val="18"/>
          <w:szCs w:val="18"/>
          <w:u w:val="single" w:color="auto"/>
          <w:color w:val="auto"/>
        </w:rPr>
        <w:t>0</w:t>
      </w:r>
      <w:r>
        <w:rPr>
          <w:rFonts w:ascii="MS PGothic" w:cs="MS PGothic" w:eastAsia="MS PGothic" w:hAnsi="MS PGothic"/>
          <w:sz w:val="18"/>
          <w:szCs w:val="18"/>
          <w:u w:val="single" w:color="auto"/>
          <w:color w:val="auto"/>
        </w:rPr>
        <w:t>‑</w:t>
      </w:r>
      <w:r>
        <w:rPr>
          <w:rFonts w:ascii="Arial" w:cs="Arial" w:eastAsia="Arial" w:hAnsi="Arial"/>
          <w:sz w:val="18"/>
          <w:szCs w:val="18"/>
          <w:u w:val="single" w:color="auto"/>
          <w:color w:val="auto"/>
        </w:rPr>
        <w:t>22684</w:t>
      </w:r>
    </w:p>
    <w:p>
      <w:pPr>
        <w:spacing w:after="0" w:line="106"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UNIVERSAL FOREST PRODUCTS,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23" w:lineRule="exact"/>
        <w:rPr>
          <w:sz w:val="24"/>
          <w:szCs w:val="24"/>
          <w:color w:val="auto"/>
        </w:rPr>
      </w:pPr>
    </w:p>
    <w:tbl>
      <w:tblPr>
        <w:tblLayout w:type="fixed"/>
        <w:tblInd w:w="540" w:type="dxa"/>
        <w:tblCellMar>
          <w:top w:w="0" w:type="dxa"/>
          <w:left w:w="0" w:type="dxa"/>
          <w:bottom w:w="0" w:type="dxa"/>
          <w:right w:w="0" w:type="dxa"/>
        </w:tblCellMar>
      </w:tblPr>
      <w:tr>
        <w:trPr>
          <w:trHeight w:val="237"/>
        </w:trPr>
        <w:tc>
          <w:tcPr>
            <w:tcW w:w="5300" w:type="dxa"/>
            <w:vAlign w:val="bottom"/>
            <w:gridSpan w:val="3"/>
          </w:tcPr>
          <w:p>
            <w:pPr>
              <w:jc w:val="center"/>
              <w:ind w:right="1200"/>
              <w:spacing w:after="0"/>
              <w:rPr>
                <w:sz w:val="20"/>
                <w:szCs w:val="20"/>
                <w:color w:val="auto"/>
              </w:rPr>
            </w:pPr>
            <w:r>
              <w:rPr>
                <w:rFonts w:ascii="Arial" w:cs="Arial" w:eastAsia="Arial" w:hAnsi="Arial"/>
                <w:sz w:val="18"/>
                <w:szCs w:val="18"/>
                <w:color w:val="auto"/>
                <w:w w:val="97"/>
              </w:rPr>
              <w:t>Michigan</w:t>
            </w:r>
          </w:p>
        </w:tc>
        <w:tc>
          <w:tcPr>
            <w:tcW w:w="4080" w:type="dxa"/>
            <w:vAlign w:val="bottom"/>
          </w:tcPr>
          <w:p>
            <w:pPr>
              <w:jc w:val="center"/>
              <w:ind w:right="70"/>
              <w:spacing w:after="0" w:line="207" w:lineRule="exact"/>
              <w:rPr>
                <w:sz w:val="20"/>
                <w:szCs w:val="20"/>
                <w:color w:val="auto"/>
              </w:rPr>
            </w:pPr>
            <w:r>
              <w:rPr>
                <w:rFonts w:ascii="Arial" w:cs="Arial" w:eastAsia="Arial" w:hAnsi="Arial"/>
                <w:sz w:val="18"/>
                <w:szCs w:val="18"/>
                <w:color w:val="auto"/>
                <w:w w:val="91"/>
              </w:rPr>
              <w:t>38</w:t>
            </w:r>
            <w:r>
              <w:rPr>
                <w:rFonts w:ascii="MS PGothic" w:cs="MS PGothic" w:eastAsia="MS PGothic" w:hAnsi="MS PGothic"/>
                <w:sz w:val="18"/>
                <w:szCs w:val="18"/>
                <w:color w:val="auto"/>
                <w:w w:val="91"/>
              </w:rPr>
              <w:t>‑</w:t>
            </w:r>
            <w:r>
              <w:rPr>
                <w:rFonts w:ascii="Arial" w:cs="Arial" w:eastAsia="Arial" w:hAnsi="Arial"/>
                <w:sz w:val="18"/>
                <w:szCs w:val="18"/>
                <w:color w:val="auto"/>
                <w:w w:val="91"/>
              </w:rPr>
              <w:t>1465835</w:t>
            </w:r>
          </w:p>
        </w:tc>
      </w:tr>
      <w:tr>
        <w:trPr>
          <w:trHeight w:val="202"/>
        </w:trPr>
        <w:tc>
          <w:tcPr>
            <w:tcW w:w="4200" w:type="dxa"/>
            <w:vAlign w:val="bottom"/>
            <w:tcBorders>
              <w:top w:val="single" w:sz="8" w:color="auto"/>
            </w:tcBorders>
          </w:tcPr>
          <w:p>
            <w:pPr>
              <w:jc w:val="center"/>
              <w:ind w:right="10"/>
              <w:spacing w:after="0" w:line="201" w:lineRule="exact"/>
              <w:rPr>
                <w:sz w:val="20"/>
                <w:szCs w:val="20"/>
                <w:color w:val="auto"/>
              </w:rPr>
            </w:pPr>
            <w:r>
              <w:rPr>
                <w:rFonts w:ascii="Arial" w:cs="Arial" w:eastAsia="Arial" w:hAnsi="Arial"/>
                <w:sz w:val="18"/>
                <w:szCs w:val="18"/>
                <w:color w:val="auto"/>
                <w:w w:val="92"/>
              </w:rPr>
              <w:t>(State or other jurisdiction of incorporation or</w:t>
            </w:r>
          </w:p>
        </w:tc>
        <w:tc>
          <w:tcPr>
            <w:tcW w:w="10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08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93"/>
              </w:rPr>
              <w:t>(I.R.S. Employer Identification Number)</w:t>
            </w:r>
          </w:p>
        </w:tc>
      </w:tr>
      <w:tr>
        <w:trPr>
          <w:trHeight w:val="230"/>
        </w:trPr>
        <w:tc>
          <w:tcPr>
            <w:tcW w:w="5300" w:type="dxa"/>
            <w:vAlign w:val="bottom"/>
            <w:gridSpan w:val="3"/>
          </w:tcPr>
          <w:p>
            <w:pPr>
              <w:jc w:val="center"/>
              <w:ind w:right="1180"/>
              <w:spacing w:after="0"/>
              <w:rPr>
                <w:sz w:val="20"/>
                <w:szCs w:val="20"/>
                <w:color w:val="auto"/>
              </w:rPr>
            </w:pPr>
            <w:r>
              <w:rPr>
                <w:rFonts w:ascii="Arial" w:cs="Arial" w:eastAsia="Arial" w:hAnsi="Arial"/>
                <w:sz w:val="18"/>
                <w:szCs w:val="18"/>
                <w:color w:val="auto"/>
                <w:w w:val="92"/>
              </w:rPr>
              <w:t>organization)</w:t>
            </w:r>
          </w:p>
        </w:tc>
        <w:tc>
          <w:tcPr>
            <w:tcW w:w="4080" w:type="dxa"/>
            <w:vAlign w:val="bottom"/>
          </w:tcPr>
          <w:p>
            <w:pPr>
              <w:spacing w:after="0"/>
              <w:rPr>
                <w:sz w:val="20"/>
                <w:szCs w:val="20"/>
                <w:color w:val="auto"/>
              </w:rPr>
            </w:pPr>
          </w:p>
        </w:tc>
      </w:tr>
      <w:tr>
        <w:trPr>
          <w:trHeight w:val="439"/>
        </w:trPr>
        <w:tc>
          <w:tcPr>
            <w:tcW w:w="5300" w:type="dxa"/>
            <w:vAlign w:val="bottom"/>
            <w:gridSpan w:val="3"/>
          </w:tcPr>
          <w:p>
            <w:pPr>
              <w:jc w:val="center"/>
              <w:ind w:right="1180"/>
              <w:spacing w:after="0"/>
              <w:rPr>
                <w:sz w:val="20"/>
                <w:szCs w:val="20"/>
                <w:color w:val="auto"/>
              </w:rPr>
            </w:pPr>
            <w:r>
              <w:rPr>
                <w:rFonts w:ascii="Arial" w:cs="Arial" w:eastAsia="Arial" w:hAnsi="Arial"/>
                <w:sz w:val="18"/>
                <w:szCs w:val="18"/>
                <w:color w:val="auto"/>
                <w:w w:val="92"/>
              </w:rPr>
              <w:t>2801 East Beltline NE, Grand Rapids, Michigan</w:t>
            </w:r>
          </w:p>
        </w:tc>
        <w:tc>
          <w:tcPr>
            <w:tcW w:w="4080" w:type="dxa"/>
            <w:vAlign w:val="bottom"/>
          </w:tcPr>
          <w:p>
            <w:pPr>
              <w:jc w:val="right"/>
              <w:ind w:right="1810"/>
              <w:spacing w:after="0"/>
              <w:rPr>
                <w:sz w:val="20"/>
                <w:szCs w:val="20"/>
                <w:color w:val="auto"/>
              </w:rPr>
            </w:pPr>
            <w:r>
              <w:rPr>
                <w:rFonts w:ascii="Arial" w:cs="Arial" w:eastAsia="Arial" w:hAnsi="Arial"/>
                <w:sz w:val="18"/>
                <w:szCs w:val="18"/>
                <w:color w:val="auto"/>
              </w:rPr>
              <w:t>49525</w:t>
            </w:r>
          </w:p>
        </w:tc>
      </w:tr>
      <w:tr>
        <w:trPr>
          <w:trHeight w:val="230"/>
        </w:trPr>
        <w:tc>
          <w:tcPr>
            <w:tcW w:w="420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color w:val="auto"/>
                <w:w w:val="92"/>
              </w:rPr>
              <w:t>(Address of principal executive offices)</w:t>
            </w:r>
          </w:p>
        </w:tc>
        <w:tc>
          <w:tcPr>
            <w:tcW w:w="10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80" w:type="dxa"/>
            <w:vAlign w:val="bottom"/>
            <w:tcBorders>
              <w:top w:val="single" w:sz="8" w:color="auto"/>
            </w:tcBorders>
          </w:tcPr>
          <w:p>
            <w:pPr>
              <w:jc w:val="center"/>
              <w:ind w:right="70"/>
              <w:spacing w:after="0"/>
              <w:rPr>
                <w:sz w:val="20"/>
                <w:szCs w:val="20"/>
                <w:color w:val="auto"/>
              </w:rPr>
            </w:pPr>
            <w:r>
              <w:rPr>
                <w:rFonts w:ascii="Arial" w:cs="Arial" w:eastAsia="Arial" w:hAnsi="Arial"/>
                <w:sz w:val="18"/>
                <w:szCs w:val="18"/>
                <w:color w:val="auto"/>
                <w:w w:val="94"/>
              </w:rPr>
              <w:t>(Zip Code)</w:t>
            </w:r>
          </w:p>
        </w:tc>
      </w:tr>
      <w:tr>
        <w:trPr>
          <w:trHeight w:val="350"/>
        </w:trPr>
        <w:tc>
          <w:tcPr>
            <w:tcW w:w="5300" w:type="dxa"/>
            <w:vAlign w:val="bottom"/>
            <w:gridSpan w:val="3"/>
          </w:tcPr>
          <w:p>
            <w:pPr>
              <w:ind w:left="440"/>
              <w:spacing w:after="0" w:line="207" w:lineRule="exact"/>
              <w:rPr>
                <w:sz w:val="20"/>
                <w:szCs w:val="20"/>
                <w:color w:val="auto"/>
              </w:rPr>
            </w:pPr>
            <w:r>
              <w:rPr>
                <w:rFonts w:ascii="Arial" w:cs="Arial" w:eastAsia="Arial" w:hAnsi="Arial"/>
                <w:sz w:val="18"/>
                <w:szCs w:val="18"/>
                <w:color w:val="auto"/>
                <w:w w:val="89"/>
              </w:rPr>
              <w:t>Registrant’s telephone number, including area code (616) 364</w:t>
            </w:r>
            <w:r>
              <w:rPr>
                <w:rFonts w:ascii="MS PGothic" w:cs="MS PGothic" w:eastAsia="MS PGothic" w:hAnsi="MS PGothic"/>
                <w:sz w:val="18"/>
                <w:szCs w:val="18"/>
                <w:color w:val="auto"/>
                <w:w w:val="89"/>
              </w:rPr>
              <w:t>‑</w:t>
            </w:r>
            <w:r>
              <w:rPr>
                <w:rFonts w:ascii="Arial" w:cs="Arial" w:eastAsia="Arial" w:hAnsi="Arial"/>
                <w:sz w:val="18"/>
                <w:szCs w:val="18"/>
                <w:color w:val="auto"/>
                <w:w w:val="89"/>
              </w:rPr>
              <w:t>6161</w:t>
            </w:r>
          </w:p>
        </w:tc>
        <w:tc>
          <w:tcPr>
            <w:tcW w:w="4080" w:type="dxa"/>
            <w:vAlign w:val="bottom"/>
          </w:tcPr>
          <w:p>
            <w:pPr>
              <w:spacing w:after="0"/>
              <w:rPr>
                <w:sz w:val="24"/>
                <w:szCs w:val="24"/>
                <w:color w:val="auto"/>
              </w:rPr>
            </w:pPr>
          </w:p>
        </w:tc>
      </w:tr>
      <w:tr>
        <w:trPr>
          <w:trHeight w:val="20"/>
        </w:trPr>
        <w:tc>
          <w:tcPr>
            <w:tcW w:w="4200" w:type="dxa"/>
            <w:vAlign w:val="bottom"/>
            <w:tcBorders>
              <w:right w:val="single" w:sz="8" w:color="auto"/>
            </w:tcBorders>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r>
    </w:tbl>
    <w:p>
      <w:pPr>
        <w:spacing w:after="0" w:line="229"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1797050</wp:posOffset>
            </wp:positionH>
            <wp:positionV relativeFrom="paragraph">
              <wp:posOffset>14605</wp:posOffset>
            </wp:positionV>
            <wp:extent cx="302704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027045" cy="17145"/>
                    </a:xfrm>
                    <a:prstGeom prst="rect">
                      <a:avLst/>
                    </a:prstGeom>
                    <a:noFill/>
                  </pic:spPr>
                </pic:pic>
              </a:graphicData>
            </a:graphic>
          </wp:anchor>
        </w:drawing>
      </w:r>
    </w:p>
    <w:p>
      <w:pPr>
        <w:spacing w:after="0" w:line="16" w:lineRule="exact"/>
        <w:rPr>
          <w:sz w:val="24"/>
          <w:szCs w:val="24"/>
          <w:color w:val="auto"/>
        </w:rPr>
      </w:pPr>
    </w:p>
    <w:p>
      <w:pPr>
        <w:jc w:val="center"/>
        <w:ind w:right="6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117" w:lineRule="exact"/>
        <w:rPr>
          <w:sz w:val="24"/>
          <w:szCs w:val="24"/>
          <w:color w:val="auto"/>
        </w:rPr>
      </w:pPr>
    </w:p>
    <w:p>
      <w:pPr>
        <w:jc w:val="both"/>
        <w:ind w:left="20"/>
        <w:spacing w:after="0" w:line="227" w:lineRule="exact"/>
        <w:rPr>
          <w:sz w:val="20"/>
          <w:szCs w:val="20"/>
          <w:color w:val="auto"/>
        </w:rPr>
      </w:pPr>
      <w:r>
        <w:rPr>
          <w:rFonts w:ascii="Arial" w:cs="Arial" w:eastAsia="Arial" w:hAnsi="Arial"/>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left="20" w:right="2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ind w:left="20"/>
        <w:spacing w:after="0" w:line="221" w:lineRule="exact"/>
        <w:rPr>
          <w:sz w:val="20"/>
          <w:szCs w:val="20"/>
          <w:color w:val="auto"/>
        </w:rPr>
      </w:pPr>
      <w:r>
        <w:rPr>
          <w:rFonts w:ascii="Arial" w:cs="Arial" w:eastAsia="Arial" w:hAnsi="Arial"/>
          <w:sz w:val="18"/>
          <w:szCs w:val="18"/>
          <w:color w:val="auto"/>
        </w:rPr>
        <w:t>Indicate by checkmark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r>
      <w:r>
        <w:rPr>
          <w:rFonts w:ascii="MS PGothic" w:cs="MS PGothic" w:eastAsia="MS PGothic" w:hAnsi="MS PGothic"/>
          <w:sz w:val="18"/>
          <w:szCs w:val="18"/>
          <w:color w:val="auto"/>
        </w:rPr>
        <w:t>‑</w:t>
      </w:r>
      <w:r>
        <w:rPr>
          <w:rFonts w:ascii="Arial" w:cs="Arial" w:eastAsia="Arial" w:hAnsi="Arial"/>
          <w:sz w:val="18"/>
          <w:szCs w:val="18"/>
          <w:color w:val="auto"/>
        </w:rPr>
        <w:t>2 of the Exchange Act.</w:t>
      </w:r>
    </w:p>
    <w:p>
      <w:pPr>
        <w:sectPr>
          <w:pgSz w:w="11900" w:h="16838" w:orient="portrait"/>
          <w:cols w:equalWidth="0" w:num="1">
            <w:col w:w="10420"/>
          </w:cols>
          <w:pgMar w:left="740" w:top="233" w:right="739" w:bottom="1440" w:gutter="0" w:footer="0" w:header="0"/>
        </w:sectPr>
      </w:pPr>
    </w:p>
    <w:p>
      <w:pPr>
        <w:spacing w:after="0" w:line="75" w:lineRule="exact"/>
        <w:rPr>
          <w:sz w:val="24"/>
          <w:szCs w:val="24"/>
          <w:color w:val="auto"/>
        </w:rPr>
      </w:pPr>
    </w:p>
    <w:p>
      <w:pPr>
        <w:ind w:left="56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jc w:val="both"/>
        <w:ind w:right="840"/>
        <w:spacing w:after="0" w:line="250"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34" w:lineRule="exact"/>
        <w:rPr>
          <w:sz w:val="24"/>
          <w:szCs w:val="24"/>
          <w:color w:val="auto"/>
        </w:rPr>
      </w:pPr>
    </w:p>
    <w:p>
      <w:pPr>
        <w:sectPr>
          <w:pgSz w:w="11900" w:h="16838" w:orient="portrait"/>
          <w:cols w:equalWidth="0" w:num="4">
            <w:col w:w="2500" w:space="720"/>
            <w:col w:w="1460" w:space="320"/>
            <w:col w:w="1820" w:space="500"/>
            <w:col w:w="3100"/>
          </w:cols>
          <w:pgMar w:left="740" w:top="233" w:right="739" w:bottom="1440" w:gutter="0" w:footer="0" w:header="0"/>
          <w:type w:val="continuous"/>
        </w:sectPr>
      </w:pPr>
    </w:p>
    <w:p>
      <w:pPr>
        <w:ind w:left="20" w:right="36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 new or revised financial accounting standards provided pursuant to Section 13(a) of the Exchange Act. </w:t>
      </w:r>
      <w:r>
        <w:rPr>
          <w:rFonts w:ascii="MS PGothic" w:cs="MS PGothic" w:eastAsia="MS PGothic" w:hAnsi="MS PGothic"/>
          <w:sz w:val="17"/>
          <w:szCs w:val="17"/>
          <w:color w:val="auto"/>
        </w:rPr>
        <w:t>☐</w:t>
      </w:r>
    </w:p>
    <w:p>
      <w:pPr>
        <w:spacing w:after="0" w:line="42" w:lineRule="exact"/>
        <w:rPr>
          <w:sz w:val="24"/>
          <w:szCs w:val="24"/>
          <w:color w:val="auto"/>
        </w:rPr>
      </w:pPr>
    </w:p>
    <w:p>
      <w:pPr>
        <w:ind w:left="20"/>
        <w:spacing w:after="0" w:line="207" w:lineRule="exact"/>
        <w:rPr>
          <w:sz w:val="20"/>
          <w:szCs w:val="20"/>
          <w:color w:val="auto"/>
        </w:rPr>
      </w:pPr>
      <w:r>
        <w:rPr>
          <w:rFonts w:ascii="Arial" w:cs="Arial" w:eastAsia="Arial" w:hAnsi="Arial"/>
          <w:sz w:val="18"/>
          <w:szCs w:val="18"/>
          <w:color w:val="auto"/>
        </w:rPr>
        <w:t>Indicate by checkmark whether the registrant is a shell company (as defined by Rule 12b</w:t>
      </w:r>
      <w:r>
        <w:rPr>
          <w:rFonts w:ascii="MS PGothic" w:cs="MS PGothic" w:eastAsia="MS PGothic" w:hAnsi="MS PGothic"/>
          <w:sz w:val="18"/>
          <w:szCs w:val="18"/>
          <w:color w:val="auto"/>
        </w:rPr>
        <w:t>‑</w:t>
      </w:r>
      <w:r>
        <w:rPr>
          <w:rFonts w:ascii="Arial" w:cs="Arial" w:eastAsia="Arial" w:hAnsi="Arial"/>
          <w:sz w:val="18"/>
          <w:szCs w:val="18"/>
          <w:color w:val="auto"/>
        </w:rPr>
        <w:t xml:space="preserve">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50" w:lineRule="exact"/>
        <w:rPr>
          <w:sz w:val="24"/>
          <w:szCs w:val="24"/>
          <w:color w:val="auto"/>
        </w:rPr>
      </w:pPr>
    </w:p>
    <w:p>
      <w:pPr>
        <w:ind w:left="2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31"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200" w:type="dxa"/>
            <w:vAlign w:val="bottom"/>
            <w:gridSpan w:val="2"/>
          </w:tcPr>
          <w:p>
            <w:pPr>
              <w:jc w:val="center"/>
              <w:ind w:right="1100"/>
              <w:spacing w:after="0"/>
              <w:rPr>
                <w:sz w:val="20"/>
                <w:szCs w:val="20"/>
                <w:color w:val="auto"/>
              </w:rPr>
            </w:pPr>
            <w:r>
              <w:rPr>
                <w:rFonts w:ascii="Arial" w:cs="Arial" w:eastAsia="Arial" w:hAnsi="Arial"/>
                <w:sz w:val="18"/>
                <w:szCs w:val="18"/>
                <w:color w:val="auto"/>
                <w:w w:val="84"/>
              </w:rPr>
              <w:t>Class</w:t>
            </w:r>
          </w:p>
        </w:tc>
        <w:tc>
          <w:tcPr>
            <w:tcW w:w="4180" w:type="dxa"/>
            <w:vAlign w:val="bottom"/>
          </w:tcPr>
          <w:p>
            <w:pPr>
              <w:jc w:val="center"/>
              <w:spacing w:after="0"/>
              <w:rPr>
                <w:sz w:val="20"/>
                <w:szCs w:val="20"/>
                <w:color w:val="auto"/>
              </w:rPr>
            </w:pPr>
            <w:r>
              <w:rPr>
                <w:rFonts w:ascii="Arial" w:cs="Arial" w:eastAsia="Arial" w:hAnsi="Arial"/>
                <w:sz w:val="18"/>
                <w:szCs w:val="18"/>
                <w:color w:val="auto"/>
                <w:w w:val="90"/>
              </w:rPr>
              <w:t>Outstanding as of March 31, 2018</w:t>
            </w:r>
          </w:p>
        </w:tc>
        <w:tc>
          <w:tcPr>
            <w:tcW w:w="500" w:type="dxa"/>
            <w:vAlign w:val="bottom"/>
          </w:tcPr>
          <w:p>
            <w:pPr>
              <w:spacing w:after="0"/>
              <w:rPr>
                <w:sz w:val="20"/>
                <w:szCs w:val="20"/>
                <w:color w:val="auto"/>
              </w:rPr>
            </w:pP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1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$1 par value</w:t>
            </w:r>
          </w:p>
        </w:tc>
        <w:tc>
          <w:tcPr>
            <w:tcW w:w="1020" w:type="dxa"/>
            <w:vAlign w:val="bottom"/>
          </w:tcPr>
          <w:p>
            <w:pPr>
              <w:spacing w:after="0"/>
              <w:rPr>
                <w:sz w:val="20"/>
                <w:szCs w:val="20"/>
                <w:color w:val="auto"/>
              </w:rPr>
            </w:pPr>
          </w:p>
        </w:tc>
        <w:tc>
          <w:tcPr>
            <w:tcW w:w="4180" w:type="dxa"/>
            <w:vAlign w:val="bottom"/>
            <w:tcBorders>
              <w:top w:val="single" w:sz="8" w:color="auto"/>
            </w:tcBorders>
          </w:tcPr>
          <w:p>
            <w:pPr>
              <w:jc w:val="right"/>
              <w:ind w:right="1630"/>
              <w:spacing w:after="0"/>
              <w:rPr>
                <w:sz w:val="20"/>
                <w:szCs w:val="20"/>
                <w:color w:val="auto"/>
              </w:rPr>
            </w:pPr>
            <w:r>
              <w:rPr>
                <w:rFonts w:ascii="Arial" w:cs="Arial" w:eastAsia="Arial" w:hAnsi="Arial"/>
                <w:sz w:val="18"/>
                <w:szCs w:val="18"/>
                <w:color w:val="auto"/>
              </w:rPr>
              <w:t>61,543,902</w:t>
            </w:r>
          </w:p>
        </w:tc>
        <w:tc>
          <w:tcPr>
            <w:tcW w:w="500" w:type="dxa"/>
            <w:vAlign w:val="bottom"/>
          </w:tcPr>
          <w:p>
            <w:pPr>
              <w:spacing w:after="0"/>
              <w:rPr>
                <w:sz w:val="20"/>
                <w:szCs w:val="20"/>
                <w:color w:val="auto"/>
              </w:rPr>
            </w:pPr>
          </w:p>
        </w:tc>
      </w:tr>
      <w:tr>
        <w:trPr>
          <w:trHeight w:val="107"/>
        </w:trPr>
        <w:tc>
          <w:tcPr>
            <w:tcW w:w="4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1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418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500" w:type="dxa"/>
            <w:vAlign w:val="bottom"/>
            <w:tcBorders>
              <w:bottom w:val="single" w:sz="8" w:color="auto"/>
            </w:tcBorders>
          </w:tcPr>
          <w:p>
            <w:pPr>
              <w:spacing w:after="0"/>
              <w:rPr>
                <w:sz w:val="5"/>
                <w:szCs w:val="5"/>
                <w:color w:val="auto"/>
              </w:rPr>
            </w:pPr>
          </w:p>
        </w:tc>
        <w:tc>
          <w:tcPr>
            <w:tcW w:w="418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tcPr>
          <w:p>
            <w:pPr>
              <w:spacing w:after="0"/>
              <w:rPr>
                <w:sz w:val="5"/>
                <w:szCs w:val="5"/>
                <w:color w:val="auto"/>
              </w:rPr>
            </w:pPr>
          </w:p>
        </w:tc>
        <w:tc>
          <w:tcPr>
            <w:tcW w:w="4180" w:type="dxa"/>
            <w:vAlign w:val="bottom"/>
            <w:tcBorders>
              <w:bottom w:val="single" w:sz="8" w:color="auto"/>
            </w:tcBorders>
          </w:tcPr>
          <w:p>
            <w:pPr>
              <w:spacing w:after="0"/>
              <w:rPr>
                <w:sz w:val="5"/>
                <w:szCs w:val="5"/>
                <w:color w:val="auto"/>
              </w:rPr>
            </w:pPr>
          </w:p>
        </w:tc>
        <w:tc>
          <w:tcPr>
            <w:tcW w:w="500" w:type="dxa"/>
            <w:vAlign w:val="bottom"/>
            <w:tcBorders>
              <w:bottom w:val="single" w:sz="8" w:color="auto"/>
              <w:right w:val="single" w:sz="8" w:color="auto"/>
            </w:tcBorders>
          </w:tcPr>
          <w:p>
            <w:pPr>
              <w:spacing w:after="0"/>
              <w:rPr>
                <w:sz w:val="5"/>
                <w:szCs w:val="5"/>
                <w:color w:val="auto"/>
              </w:rPr>
            </w:pPr>
          </w:p>
        </w:tc>
      </w:tr>
      <w:tr>
        <w:trPr>
          <w:trHeight w:val="588"/>
        </w:trPr>
        <w:tc>
          <w:tcPr>
            <w:tcW w:w="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r>
    </w:tbl>
    <w:p>
      <w:pPr>
        <w:sectPr>
          <w:pgSz w:w="11900" w:h="16838" w:orient="portrait"/>
          <w:cols w:equalWidth="0" w:num="1">
            <w:col w:w="10420"/>
          </w:cols>
          <w:pgMar w:left="740" w:top="233" w:right="739" w:bottom="144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gridSpan w:val="6"/>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5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20" w:type="dxa"/>
            <w:vAlign w:val="bottom"/>
            <w:tcBorders>
              <w:top w:val="single" w:sz="8" w:color="0563C1"/>
            </w:tcBorders>
          </w:tcPr>
          <w:p>
            <w:pPr>
              <w:spacing w:after="0"/>
              <w:rPr>
                <w:sz w:val="24"/>
                <w:szCs w:val="24"/>
                <w:color w:val="auto"/>
              </w:rPr>
            </w:pPr>
          </w:p>
        </w:tc>
        <w:tc>
          <w:tcPr>
            <w:tcW w:w="840" w:type="dxa"/>
            <w:vAlign w:val="bottom"/>
            <w:tcBorders>
              <w:top w:val="single" w:sz="8" w:color="0563C1"/>
            </w:tcBorders>
          </w:tcPr>
          <w:p>
            <w:pPr>
              <w:spacing w:after="0"/>
              <w:rPr>
                <w:sz w:val="24"/>
                <w:szCs w:val="24"/>
                <w:color w:val="auto"/>
              </w:rPr>
            </w:pPr>
          </w:p>
        </w:tc>
        <w:tc>
          <w:tcPr>
            <w:tcW w:w="420" w:type="dxa"/>
            <w:vAlign w:val="bottom"/>
            <w:tcBorders>
              <w:top w:val="single" w:sz="8" w:color="0563C1"/>
            </w:tcBorders>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80" w:type="dxa"/>
            <w:vAlign w:val="bottom"/>
            <w:gridSpan w:val="14"/>
          </w:tcPr>
          <w:p>
            <w:pPr>
              <w:jc w:val="center"/>
              <w:ind w:right="1440"/>
              <w:spacing w:after="0"/>
              <w:rPr>
                <w:sz w:val="20"/>
                <w:szCs w:val="20"/>
                <w:color w:val="auto"/>
              </w:rPr>
            </w:pPr>
            <w:r>
              <w:rPr>
                <w:rFonts w:ascii="Arial" w:cs="Arial" w:eastAsia="Arial" w:hAnsi="Arial"/>
                <w:sz w:val="18"/>
                <w:szCs w:val="18"/>
                <w:b w:val="1"/>
                <w:bCs w:val="1"/>
                <w:color w:val="auto"/>
                <w:w w:val="99"/>
              </w:rPr>
              <w:t>UNIVERSAL FOREST PRODUCTS, INC.</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900" w:type="dxa"/>
            <w:vAlign w:val="bottom"/>
            <w:gridSpan w:val="11"/>
          </w:tcPr>
          <w:p>
            <w:pPr>
              <w:jc w:val="center"/>
              <w:ind w:right="2620"/>
              <w:spacing w:after="0"/>
              <w:rPr>
                <w:sz w:val="20"/>
                <w:szCs w:val="20"/>
                <w:color w:val="auto"/>
              </w:rPr>
            </w:pPr>
            <w:r>
              <w:rPr>
                <w:rFonts w:ascii="Arial" w:cs="Arial" w:eastAsia="Arial" w:hAnsi="Arial"/>
                <w:sz w:val="18"/>
                <w:szCs w:val="18"/>
                <w:b w:val="1"/>
                <w:bCs w:val="1"/>
                <w:color w:val="auto"/>
                <w:w w:val="98"/>
              </w:rPr>
              <w:t>TABLE OF CONTENTS</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1620" w:type="dxa"/>
            <w:vAlign w:val="bottom"/>
            <w:gridSpan w:val="6"/>
          </w:tcPr>
          <w:p>
            <w:pPr>
              <w:spacing w:after="0"/>
              <w:rPr>
                <w:sz w:val="20"/>
                <w:szCs w:val="20"/>
                <w:color w:val="auto"/>
              </w:rPr>
            </w:pPr>
            <w:r>
              <w:rPr>
                <w:rFonts w:ascii="Arial" w:cs="Arial" w:eastAsia="Arial" w:hAnsi="Arial"/>
                <w:sz w:val="18"/>
                <w:szCs w:val="18"/>
                <w:b w:val="1"/>
                <w:bCs w:val="1"/>
                <w:color w:val="auto"/>
              </w:rPr>
              <w:t>PART I.</w:t>
            </w:r>
          </w:p>
        </w:tc>
        <w:tc>
          <w:tcPr>
            <w:tcW w:w="6680" w:type="dxa"/>
            <w:vAlign w:val="bottom"/>
            <w:gridSpan w:val="16"/>
          </w:tcPr>
          <w:p>
            <w:pPr>
              <w:spacing w:after="0"/>
              <w:rPr>
                <w:sz w:val="20"/>
                <w:szCs w:val="20"/>
                <w:color w:val="auto"/>
              </w:rPr>
            </w:pPr>
            <w:r>
              <w:rPr>
                <w:rFonts w:ascii="Arial" w:cs="Arial" w:eastAsia="Arial" w:hAnsi="Arial"/>
                <w:sz w:val="18"/>
                <w:szCs w:val="18"/>
                <w:b w:val="1"/>
                <w:bCs w:val="1"/>
                <w:color w:val="auto"/>
              </w:rPr>
              <w:t>FINANCIAL INFORMATION.</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Page No.</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600" w:type="dxa"/>
            <w:vAlign w:val="bottom"/>
            <w:gridSpan w:val="5"/>
          </w:tcPr>
          <w:p>
            <w:pPr>
              <w:ind w:left="840"/>
              <w:spacing w:after="0"/>
              <w:rPr>
                <w:sz w:val="20"/>
                <w:szCs w:val="20"/>
                <w:color w:val="auto"/>
              </w:rPr>
            </w:pPr>
            <w:r>
              <w:rPr>
                <w:rFonts w:ascii="Arial" w:cs="Arial" w:eastAsia="Arial" w:hAnsi="Arial"/>
                <w:sz w:val="18"/>
                <w:szCs w:val="18"/>
                <w:color w:val="auto"/>
              </w:rPr>
              <w:t>Item 1.</w:t>
            </w:r>
          </w:p>
        </w:tc>
        <w:tc>
          <w:tcPr>
            <w:tcW w:w="6680" w:type="dxa"/>
            <w:vAlign w:val="bottom"/>
            <w:gridSpan w:val="16"/>
          </w:tcPr>
          <w:p>
            <w:pPr>
              <w:spacing w:after="0"/>
              <w:rPr>
                <w:sz w:val="20"/>
                <w:szCs w:val="20"/>
                <w:color w:val="auto"/>
              </w:rPr>
            </w:pPr>
            <w:r>
              <w:rPr>
                <w:rFonts w:ascii="Arial" w:cs="Arial" w:eastAsia="Arial" w:hAnsi="Arial"/>
                <w:sz w:val="18"/>
                <w:szCs w:val="18"/>
                <w:color w:val="auto"/>
              </w:rPr>
              <w:t>Financial Statements</w:t>
            </w: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80" w:type="dxa"/>
            <w:vAlign w:val="bottom"/>
            <w:gridSpan w:val="16"/>
            <w:shd w:val="clear" w:color="auto" w:fill="CCEEFF"/>
          </w:tcPr>
          <w:p>
            <w:pPr>
              <w:spacing w:after="0" w:line="176" w:lineRule="exact"/>
              <w:rPr>
                <w:rFonts w:ascii="Arial" w:cs="Arial" w:eastAsia="Arial" w:hAnsi="Arial"/>
                <w:sz w:val="18"/>
                <w:szCs w:val="18"/>
                <w:color w:val="0000EE"/>
                <w:w w:val="91"/>
              </w:rPr>
            </w:pPr>
            <w:hyperlink w:anchor="page3">
              <w:r>
                <w:rPr>
                  <w:rFonts w:ascii="Arial" w:cs="Arial" w:eastAsia="Arial" w:hAnsi="Arial"/>
                  <w:sz w:val="18"/>
                  <w:szCs w:val="18"/>
                  <w:color w:val="0000EE"/>
                  <w:w w:val="91"/>
                </w:rPr>
                <w:t>Consolidated Condensed Balance Sheets at March 31, 2018, December 30, 2017 and April</w:t>
              </w:r>
            </w:hyperlink>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8"/>
                <w:szCs w:val="18"/>
                <w:color w:val="auto"/>
              </w:rPr>
            </w:pPr>
          </w:p>
        </w:tc>
        <w:tc>
          <w:tcPr>
            <w:tcW w:w="840" w:type="dxa"/>
            <w:vAlign w:val="bottom"/>
            <w:tcBorders>
              <w:top w:val="single" w:sz="8" w:color="CCEEFF"/>
              <w:bottom w:val="single" w:sz="8" w:color="CCEEFF"/>
            </w:tcBorders>
            <w:shd w:val="clear" w:color="auto" w:fill="CCEEFF"/>
          </w:tcPr>
          <w:p>
            <w:pPr>
              <w:spacing w:after="0"/>
              <w:rPr>
                <w:sz w:val="18"/>
                <w:szCs w:val="18"/>
                <w:color w:val="auto"/>
              </w:rPr>
            </w:pPr>
          </w:p>
        </w:tc>
        <w:tc>
          <w:tcPr>
            <w:tcW w:w="4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540" w:type="dxa"/>
            <w:vAlign w:val="bottom"/>
            <w:tcBorders>
              <w:top w:val="single" w:sz="8" w:color="0000EE"/>
              <w:bottom w:val="single" w:sz="8" w:color="0000EE"/>
            </w:tcBorders>
            <w:shd w:val="clear" w:color="auto" w:fill="CCEEFF"/>
          </w:tcPr>
          <w:p>
            <w:pPr>
              <w:spacing w:after="0" w:line="196" w:lineRule="exact"/>
              <w:rPr>
                <w:rFonts w:ascii="Arial" w:cs="Arial" w:eastAsia="Arial" w:hAnsi="Arial"/>
                <w:sz w:val="18"/>
                <w:szCs w:val="18"/>
                <w:color w:val="0000EE"/>
                <w:w w:val="86"/>
              </w:rPr>
            </w:pPr>
            <w:hyperlink w:anchor="page3">
              <w:r>
                <w:rPr>
                  <w:rFonts w:ascii="Arial" w:cs="Arial" w:eastAsia="Arial" w:hAnsi="Arial"/>
                  <w:sz w:val="18"/>
                  <w:szCs w:val="18"/>
                  <w:color w:val="0000EE"/>
                  <w:w w:val="86"/>
                </w:rPr>
                <w:t>1, 2017</w:t>
              </w:r>
            </w:hyperlink>
          </w:p>
        </w:tc>
        <w:tc>
          <w:tcPr>
            <w:tcW w:w="60" w:type="dxa"/>
            <w:vAlign w:val="bottom"/>
            <w:tcBorders>
              <w:top w:val="single" w:sz="8" w:color="0000EE"/>
              <w:bottom w:val="single" w:sz="8" w:color="CCEEFF"/>
            </w:tcBorders>
            <w:shd w:val="clear" w:color="auto" w:fill="CCEEFF"/>
          </w:tcPr>
          <w:p>
            <w:pPr>
              <w:spacing w:after="0"/>
              <w:rPr>
                <w:sz w:val="18"/>
                <w:szCs w:val="18"/>
                <w:color w:val="auto"/>
              </w:rPr>
            </w:pPr>
          </w:p>
        </w:tc>
        <w:tc>
          <w:tcPr>
            <w:tcW w:w="980" w:type="dxa"/>
            <w:vAlign w:val="bottom"/>
            <w:tcBorders>
              <w:top w:val="single" w:sz="8" w:color="0000EE"/>
              <w:bottom w:val="single" w:sz="8" w:color="CCEEFF"/>
            </w:tcBorders>
            <w:shd w:val="clear" w:color="auto" w:fill="CCEEFF"/>
          </w:tcPr>
          <w:p>
            <w:pPr>
              <w:spacing w:after="0"/>
              <w:rPr>
                <w:sz w:val="18"/>
                <w:szCs w:val="18"/>
                <w:color w:val="auto"/>
              </w:rPr>
            </w:pPr>
          </w:p>
        </w:tc>
        <w:tc>
          <w:tcPr>
            <w:tcW w:w="100" w:type="dxa"/>
            <w:vAlign w:val="bottom"/>
            <w:tcBorders>
              <w:top w:val="single" w:sz="8" w:color="0000EE"/>
              <w:bottom w:val="single" w:sz="8" w:color="CCEEFF"/>
            </w:tcBorders>
            <w:shd w:val="clear" w:color="auto" w:fill="CCEEFF"/>
          </w:tcPr>
          <w:p>
            <w:pPr>
              <w:spacing w:after="0"/>
              <w:rPr>
                <w:sz w:val="18"/>
                <w:szCs w:val="18"/>
                <w:color w:val="auto"/>
              </w:rPr>
            </w:pPr>
          </w:p>
        </w:tc>
        <w:tc>
          <w:tcPr>
            <w:tcW w:w="100" w:type="dxa"/>
            <w:vAlign w:val="bottom"/>
            <w:tcBorders>
              <w:top w:val="single" w:sz="8" w:color="0000EE"/>
              <w:bottom w:val="single" w:sz="8" w:color="CCEEFF"/>
            </w:tcBorders>
            <w:shd w:val="clear" w:color="auto" w:fill="CCEEFF"/>
          </w:tcPr>
          <w:p>
            <w:pPr>
              <w:spacing w:after="0"/>
              <w:rPr>
                <w:sz w:val="18"/>
                <w:szCs w:val="18"/>
                <w:color w:val="auto"/>
              </w:rPr>
            </w:pPr>
          </w:p>
        </w:tc>
        <w:tc>
          <w:tcPr>
            <w:tcW w:w="220" w:type="dxa"/>
            <w:vAlign w:val="bottom"/>
            <w:tcBorders>
              <w:top w:val="single" w:sz="8" w:color="0000EE"/>
              <w:bottom w:val="single" w:sz="8" w:color="CCEEFF"/>
            </w:tcBorders>
            <w:shd w:val="clear" w:color="auto" w:fill="CCEEFF"/>
          </w:tcPr>
          <w:p>
            <w:pPr>
              <w:spacing w:after="0"/>
              <w:rPr>
                <w:sz w:val="18"/>
                <w:szCs w:val="18"/>
                <w:color w:val="auto"/>
              </w:rPr>
            </w:pPr>
          </w:p>
        </w:tc>
        <w:tc>
          <w:tcPr>
            <w:tcW w:w="460" w:type="dxa"/>
            <w:vAlign w:val="bottom"/>
            <w:tcBorders>
              <w:top w:val="single" w:sz="8" w:color="0000EE"/>
              <w:bottom w:val="single" w:sz="8" w:color="CCEEFF"/>
            </w:tcBorders>
            <w:shd w:val="clear" w:color="auto" w:fill="CCEEFF"/>
          </w:tcPr>
          <w:p>
            <w:pPr>
              <w:spacing w:after="0"/>
              <w:rPr>
                <w:sz w:val="18"/>
                <w:szCs w:val="18"/>
                <w:color w:val="auto"/>
              </w:rPr>
            </w:pPr>
          </w:p>
        </w:tc>
        <w:tc>
          <w:tcPr>
            <w:tcW w:w="1560" w:type="dxa"/>
            <w:vAlign w:val="bottom"/>
            <w:tcBorders>
              <w:top w:val="single" w:sz="8" w:color="0000EE"/>
              <w:bottom w:val="single" w:sz="8" w:color="CCEEFF"/>
            </w:tcBorders>
            <w:shd w:val="clear" w:color="auto" w:fill="CCEEFF"/>
          </w:tcPr>
          <w:p>
            <w:pPr>
              <w:spacing w:after="0"/>
              <w:rPr>
                <w:sz w:val="18"/>
                <w:szCs w:val="18"/>
                <w:color w:val="auto"/>
              </w:rPr>
            </w:pPr>
          </w:p>
        </w:tc>
        <w:tc>
          <w:tcPr>
            <w:tcW w:w="300" w:type="dxa"/>
            <w:vAlign w:val="bottom"/>
            <w:tcBorders>
              <w:top w:val="single" w:sz="8" w:color="0000EE"/>
              <w:bottom w:val="single" w:sz="8" w:color="CCEEFF"/>
            </w:tcBorders>
            <w:shd w:val="clear" w:color="auto" w:fill="CCEEFF"/>
          </w:tcPr>
          <w:p>
            <w:pPr>
              <w:spacing w:after="0"/>
              <w:rPr>
                <w:sz w:val="18"/>
                <w:szCs w:val="18"/>
                <w:color w:val="auto"/>
              </w:rPr>
            </w:pPr>
          </w:p>
        </w:tc>
        <w:tc>
          <w:tcPr>
            <w:tcW w:w="40" w:type="dxa"/>
            <w:vAlign w:val="bottom"/>
            <w:tcBorders>
              <w:top w:val="single" w:sz="8" w:color="0000EE"/>
              <w:bottom w:val="single" w:sz="8" w:color="CCEEFF"/>
            </w:tcBorders>
            <w:shd w:val="clear" w:color="auto" w:fill="CCEEFF"/>
          </w:tcPr>
          <w:p>
            <w:pPr>
              <w:spacing w:after="0"/>
              <w:rPr>
                <w:sz w:val="18"/>
                <w:szCs w:val="18"/>
                <w:color w:val="auto"/>
              </w:rPr>
            </w:pPr>
          </w:p>
        </w:tc>
        <w:tc>
          <w:tcPr>
            <w:tcW w:w="440" w:type="dxa"/>
            <w:vAlign w:val="bottom"/>
            <w:tcBorders>
              <w:top w:val="single" w:sz="8" w:color="0000EE"/>
              <w:bottom w:val="single" w:sz="8" w:color="CCEEFF"/>
            </w:tcBorders>
            <w:shd w:val="clear" w:color="auto" w:fill="CCEEFF"/>
          </w:tcPr>
          <w:p>
            <w:pPr>
              <w:spacing w:after="0"/>
              <w:rPr>
                <w:sz w:val="18"/>
                <w:szCs w:val="18"/>
                <w:color w:val="auto"/>
              </w:rPr>
            </w:pPr>
          </w:p>
        </w:tc>
        <w:tc>
          <w:tcPr>
            <w:tcW w:w="1660" w:type="dxa"/>
            <w:vAlign w:val="bottom"/>
            <w:tcBorders>
              <w:top w:val="single" w:sz="8" w:color="0000EE"/>
              <w:bottom w:val="single" w:sz="8" w:color="CCEEFF"/>
            </w:tcBorders>
            <w:shd w:val="clear" w:color="auto" w:fill="CCEEFF"/>
          </w:tcPr>
          <w:p>
            <w:pPr>
              <w:spacing w:after="0"/>
              <w:rPr>
                <w:sz w:val="18"/>
                <w:szCs w:val="18"/>
                <w:color w:val="auto"/>
              </w:rPr>
            </w:pPr>
          </w:p>
        </w:tc>
        <w:tc>
          <w:tcPr>
            <w:tcW w:w="16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0000EE"/>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2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7"/>
              </w:rPr>
            </w:pPr>
            <w:hyperlink w:anchor="page4">
              <w:r>
                <w:rPr>
                  <w:rFonts w:ascii="Arial" w:cs="Arial" w:eastAsia="Arial" w:hAnsi="Arial"/>
                  <w:sz w:val="18"/>
                  <w:szCs w:val="18"/>
                  <w:color w:val="0000EE"/>
                  <w:w w:val="97"/>
                </w:rPr>
                <w:t>Consolidated Condensed Statements of Earnings and Comprehensive Income for the</w:t>
              </w:r>
            </w:hyperlink>
          </w:p>
        </w:tc>
        <w:tc>
          <w:tcPr>
            <w:tcW w:w="60" w:type="dxa"/>
            <w:vAlign w:val="bottom"/>
            <w:tcBorders>
              <w:bottom w:val="single" w:sz="8" w:color="CCEEFF"/>
            </w:tcBorders>
            <w:gridSpan w:val="3"/>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80" w:type="dxa"/>
            <w:vAlign w:val="bottom"/>
            <w:gridSpan w:val="16"/>
            <w:shd w:val="clear" w:color="auto" w:fill="CCEEFF"/>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Three Months Ended March 31, 2018 and April 1, 2017</w:t>
              </w:r>
            </w:hyperlink>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40" w:type="dxa"/>
            <w:vAlign w:val="bottom"/>
            <w:tcBorders>
              <w:bottom w:val="single" w:sz="8" w:color="0000EE"/>
            </w:tcBorders>
            <w:gridSpan w:val="14"/>
            <w:shd w:val="clear" w:color="auto" w:fill="CCEEFF"/>
          </w:tcPr>
          <w:p>
            <w:pPr>
              <w:spacing w:after="0" w:line="17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Consolidated Condensed Statements of Shareholders’ Equity for the Three Months Ended</w:t>
              </w:r>
            </w:hyperlink>
          </w:p>
        </w:tc>
        <w:tc>
          <w:tcPr>
            <w:tcW w:w="40" w:type="dxa"/>
            <w:vAlign w:val="bottom"/>
            <w:tcBorders>
              <w:bottom w:val="single" w:sz="8" w:color="CCEEFF"/>
            </w:tcBorders>
            <w:gridSpan w:val="2"/>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80" w:type="dxa"/>
            <w:vAlign w:val="bottom"/>
            <w:gridSpan w:val="16"/>
            <w:shd w:val="clear" w:color="auto" w:fill="CCEEFF"/>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March 31, 2018 and April 1, 2017</w:t>
              </w:r>
            </w:hyperlink>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6620" w:type="dxa"/>
            <w:vAlign w:val="bottom"/>
            <w:tcBorders>
              <w:bottom w:val="single" w:sz="8" w:color="0000EE"/>
            </w:tcBorders>
            <w:gridSpan w:val="13"/>
            <w:shd w:val="clear" w:color="auto" w:fill="CCEEFF"/>
          </w:tcPr>
          <w:p>
            <w:pPr>
              <w:spacing w:after="0" w:line="176" w:lineRule="exact"/>
              <w:rPr>
                <w:rFonts w:ascii="Arial" w:cs="Arial" w:eastAsia="Arial" w:hAnsi="Arial"/>
                <w:sz w:val="18"/>
                <w:szCs w:val="18"/>
                <w:color w:val="0000EE"/>
                <w:w w:val="90"/>
              </w:rPr>
            </w:pPr>
            <w:hyperlink w:anchor="page6">
              <w:r>
                <w:rPr>
                  <w:rFonts w:ascii="Arial" w:cs="Arial" w:eastAsia="Arial" w:hAnsi="Arial"/>
                  <w:sz w:val="18"/>
                  <w:szCs w:val="18"/>
                  <w:color w:val="0000EE"/>
                  <w:w w:val="90"/>
                </w:rPr>
                <w:t>Consolidated Condensed Statements of Cash Flows for the Three Months Ended March 31,</w:t>
              </w:r>
            </w:hyperlink>
          </w:p>
        </w:tc>
        <w:tc>
          <w:tcPr>
            <w:tcW w:w="60" w:type="dxa"/>
            <w:vAlign w:val="bottom"/>
            <w:tcBorders>
              <w:bottom w:val="single" w:sz="8" w:color="CCEEFF"/>
            </w:tcBorders>
            <w:gridSpan w:val="3"/>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80" w:type="dxa"/>
            <w:vAlign w:val="bottom"/>
            <w:gridSpan w:val="16"/>
            <w:shd w:val="clear" w:color="auto" w:fill="CCEEFF"/>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2018 and April 1, 2017</w:t>
              </w:r>
            </w:hyperlink>
          </w:p>
        </w:tc>
        <w:tc>
          <w:tcPr>
            <w:tcW w:w="7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80" w:type="dxa"/>
            <w:vAlign w:val="bottom"/>
            <w:gridSpan w:val="16"/>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Notes to Unaudited Consolidated Condensed Financial Statements</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gridSpan w:val="5"/>
            <w:shd w:val="clear" w:color="auto" w:fill="CCEEFF"/>
          </w:tcPr>
          <w:p>
            <w:pPr>
              <w:ind w:left="840"/>
              <w:spacing w:after="0" w:line="176" w:lineRule="exact"/>
              <w:rPr>
                <w:rFonts w:ascii="Arial" w:cs="Arial" w:eastAsia="Arial" w:hAnsi="Arial"/>
                <w:sz w:val="18"/>
                <w:szCs w:val="18"/>
                <w:color w:val="0000EE"/>
              </w:rPr>
            </w:pPr>
            <w:hyperlink w:anchor="page15">
              <w:r>
                <w:rPr>
                  <w:rFonts w:ascii="Arial" w:cs="Arial" w:eastAsia="Arial" w:hAnsi="Arial"/>
                  <w:sz w:val="18"/>
                  <w:szCs w:val="18"/>
                  <w:color w:val="0000EE"/>
                </w:rPr>
                <w:t>Item 2.</w:t>
              </w:r>
            </w:hyperlink>
          </w:p>
        </w:tc>
        <w:tc>
          <w:tcPr>
            <w:tcW w:w="6680" w:type="dxa"/>
            <w:vAlign w:val="bottom"/>
            <w:gridSpan w:val="16"/>
            <w:shd w:val="clear" w:color="auto" w:fill="CCEEFF"/>
          </w:tcPr>
          <w:p>
            <w:pPr>
              <w:spacing w:after="0" w:line="176" w:lineRule="exact"/>
              <w:rPr>
                <w:rFonts w:ascii="Arial" w:cs="Arial" w:eastAsia="Arial" w:hAnsi="Arial"/>
                <w:sz w:val="18"/>
                <w:szCs w:val="18"/>
                <w:color w:val="0000EE"/>
                <w:w w:val="94"/>
              </w:rPr>
            </w:pPr>
            <w:hyperlink w:anchor="page15">
              <w:r>
                <w:rPr>
                  <w:rFonts w:ascii="Arial" w:cs="Arial" w:eastAsia="Arial" w:hAnsi="Arial"/>
                  <w:sz w:val="18"/>
                  <w:szCs w:val="18"/>
                  <w:color w:val="0000EE"/>
                  <w:w w:val="94"/>
                </w:rPr>
                <w:t>Management’s Discussion and Analysis of Financial Condition and Results of Operations</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166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gridSpan w:val="5"/>
            <w:shd w:val="clear" w:color="auto" w:fill="CCEEFF"/>
          </w:tcPr>
          <w:p>
            <w:pPr>
              <w:ind w:left="840"/>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Item 3.</w:t>
              </w:r>
            </w:hyperlink>
          </w:p>
        </w:tc>
        <w:tc>
          <w:tcPr>
            <w:tcW w:w="6680" w:type="dxa"/>
            <w:vAlign w:val="bottom"/>
            <w:gridSpan w:val="16"/>
            <w:shd w:val="clear" w:color="auto" w:fill="CCEEFF"/>
          </w:tcPr>
          <w:p>
            <w:pPr>
              <w:spacing w:after="0" w:line="176" w:lineRule="exact"/>
              <w:rPr>
                <w:rFonts w:ascii="Arial" w:cs="Arial" w:eastAsia="Arial" w:hAnsi="Arial"/>
                <w:sz w:val="18"/>
                <w:szCs w:val="18"/>
                <w:color w:val="0000EE"/>
              </w:rPr>
            </w:pPr>
            <w:hyperlink w:anchor="page25">
              <w:r>
                <w:rPr>
                  <w:rFonts w:ascii="Arial" w:cs="Arial" w:eastAsia="Arial" w:hAnsi="Arial"/>
                  <w:sz w:val="18"/>
                  <w:szCs w:val="18"/>
                  <w:color w:val="0000EE"/>
                </w:rPr>
                <w:t>Quantitative and Qualitative Disclosures about Market Risk</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gridSpan w:val="5"/>
            <w:shd w:val="clear" w:color="auto" w:fill="CCEEFF"/>
          </w:tcPr>
          <w:p>
            <w:pPr>
              <w:ind w:left="840"/>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Item 4.</w:t>
              </w:r>
            </w:hyperlink>
          </w:p>
        </w:tc>
        <w:tc>
          <w:tcPr>
            <w:tcW w:w="6680" w:type="dxa"/>
            <w:vAlign w:val="bottom"/>
            <w:gridSpan w:val="16"/>
            <w:shd w:val="clear" w:color="auto" w:fill="CCEEFF"/>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0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PART II.</w:t>
            </w:r>
          </w:p>
        </w:tc>
        <w:tc>
          <w:tcPr>
            <w:tcW w:w="6680" w:type="dxa"/>
            <w:vAlign w:val="bottom"/>
            <w:gridSpan w:val="16"/>
            <w:shd w:val="clear" w:color="auto" w:fill="CCEEFF"/>
          </w:tcPr>
          <w:p>
            <w:pPr>
              <w:spacing w:after="0"/>
              <w:rPr>
                <w:sz w:val="20"/>
                <w:szCs w:val="20"/>
                <w:color w:val="auto"/>
              </w:rPr>
            </w:pPr>
            <w:r>
              <w:rPr>
                <w:rFonts w:ascii="Arial" w:cs="Arial" w:eastAsia="Arial" w:hAnsi="Arial"/>
                <w:sz w:val="18"/>
                <w:szCs w:val="18"/>
                <w:b w:val="1"/>
                <w:bCs w:val="1"/>
                <w:color w:val="auto"/>
              </w:rPr>
              <w:t>OTHER INFORMATION</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5"/>
            <w:shd w:val="clear" w:color="auto" w:fill="CCEEFF"/>
          </w:tcPr>
          <w:p>
            <w:pPr>
              <w:ind w:left="840"/>
              <w:spacing w:after="0"/>
              <w:rPr>
                <w:sz w:val="20"/>
                <w:szCs w:val="20"/>
                <w:color w:val="auto"/>
              </w:rPr>
            </w:pPr>
            <w:r>
              <w:rPr>
                <w:rFonts w:ascii="Arial" w:cs="Arial" w:eastAsia="Arial" w:hAnsi="Arial"/>
                <w:sz w:val="18"/>
                <w:szCs w:val="18"/>
                <w:color w:val="auto"/>
              </w:rPr>
              <w:t>Item 1.</w:t>
            </w:r>
          </w:p>
        </w:tc>
        <w:tc>
          <w:tcPr>
            <w:tcW w:w="668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Legal Proceedings – NONE</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gridSpan w:val="5"/>
            <w:shd w:val="clear" w:color="auto" w:fill="CCEEFF"/>
          </w:tcPr>
          <w:p>
            <w:pPr>
              <w:ind w:left="84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1A.</w:t>
              </w:r>
            </w:hyperlink>
          </w:p>
        </w:tc>
        <w:tc>
          <w:tcPr>
            <w:tcW w:w="6680" w:type="dxa"/>
            <w:vAlign w:val="bottom"/>
            <w:gridSpan w:val="16"/>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Risk Factors – NONE</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gridSpan w:val="5"/>
            <w:shd w:val="clear" w:color="auto" w:fill="CCEEFF"/>
          </w:tcPr>
          <w:p>
            <w:pPr>
              <w:ind w:left="84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2.</w:t>
              </w:r>
            </w:hyperlink>
          </w:p>
        </w:tc>
        <w:tc>
          <w:tcPr>
            <w:tcW w:w="6680" w:type="dxa"/>
            <w:vAlign w:val="bottom"/>
            <w:gridSpan w:val="16"/>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Unregistered Sales of Equity Securities and Use of Proceeds</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60" w:type="dxa"/>
            <w:vAlign w:val="bottom"/>
            <w:tcBorders>
              <w:top w:val="single" w:sz="8" w:color="0000EE"/>
            </w:tcBorders>
          </w:tcPr>
          <w:p>
            <w:pPr>
              <w:spacing w:after="0"/>
              <w:rPr>
                <w:sz w:val="18"/>
                <w:szCs w:val="18"/>
                <w:color w:val="auto"/>
              </w:rPr>
            </w:pPr>
          </w:p>
        </w:tc>
        <w:tc>
          <w:tcPr>
            <w:tcW w:w="15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5"/>
            <w:shd w:val="clear" w:color="auto" w:fill="CCEEFF"/>
          </w:tcPr>
          <w:p>
            <w:pPr>
              <w:ind w:left="840"/>
              <w:spacing w:after="0"/>
              <w:rPr>
                <w:sz w:val="20"/>
                <w:szCs w:val="20"/>
                <w:color w:val="auto"/>
              </w:rPr>
            </w:pPr>
            <w:r>
              <w:rPr>
                <w:rFonts w:ascii="Arial" w:cs="Arial" w:eastAsia="Arial" w:hAnsi="Arial"/>
                <w:sz w:val="18"/>
                <w:szCs w:val="18"/>
                <w:color w:val="auto"/>
              </w:rPr>
              <w:t>Item 3.</w:t>
            </w:r>
          </w:p>
        </w:tc>
        <w:tc>
          <w:tcPr>
            <w:tcW w:w="668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Defaults upon Senior Securities – NONE</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0" w:type="dxa"/>
            <w:vAlign w:val="bottom"/>
            <w:gridSpan w:val="5"/>
            <w:shd w:val="clear" w:color="auto" w:fill="CCEEFF"/>
          </w:tcPr>
          <w:p>
            <w:pPr>
              <w:ind w:left="840"/>
              <w:spacing w:after="0"/>
              <w:rPr>
                <w:sz w:val="20"/>
                <w:szCs w:val="20"/>
                <w:color w:val="auto"/>
              </w:rPr>
            </w:pPr>
            <w:r>
              <w:rPr>
                <w:rFonts w:ascii="Arial" w:cs="Arial" w:eastAsia="Arial" w:hAnsi="Arial"/>
                <w:sz w:val="18"/>
                <w:szCs w:val="18"/>
                <w:color w:val="auto"/>
              </w:rPr>
              <w:t>Item 4.</w:t>
            </w:r>
          </w:p>
        </w:tc>
        <w:tc>
          <w:tcPr>
            <w:tcW w:w="6680" w:type="dxa"/>
            <w:vAlign w:val="bottom"/>
            <w:gridSpan w:val="16"/>
            <w:shd w:val="clear" w:color="auto" w:fill="CCEEFF"/>
          </w:tcPr>
          <w:p>
            <w:pPr>
              <w:spacing w:after="0"/>
              <w:rPr>
                <w:sz w:val="20"/>
                <w:szCs w:val="20"/>
                <w:color w:val="auto"/>
              </w:rPr>
            </w:pPr>
            <w:r>
              <w:rPr>
                <w:rFonts w:ascii="Arial" w:cs="Arial" w:eastAsia="Arial" w:hAnsi="Arial"/>
                <w:sz w:val="18"/>
                <w:szCs w:val="18"/>
                <w:color w:val="auto"/>
              </w:rPr>
              <w:t>Mine Safety Disclosures – NONE</w:t>
            </w: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0" w:type="dxa"/>
            <w:vAlign w:val="bottom"/>
            <w:gridSpan w:val="5"/>
            <w:shd w:val="clear" w:color="auto" w:fill="CCEEFF"/>
          </w:tcPr>
          <w:p>
            <w:pPr>
              <w:ind w:left="840"/>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Item 5.</w:t>
              </w:r>
            </w:hyperlink>
          </w:p>
        </w:tc>
        <w:tc>
          <w:tcPr>
            <w:tcW w:w="6680" w:type="dxa"/>
            <w:vAlign w:val="bottom"/>
            <w:gridSpan w:val="16"/>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Other Information – NONE</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 w:type="dxa"/>
            <w:vAlign w:val="bottom"/>
            <w:tcBorders>
              <w:top w:val="single" w:sz="8" w:color="CCEEFF"/>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98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15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166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600" w:type="dxa"/>
            <w:vAlign w:val="bottom"/>
            <w:gridSpan w:val="5"/>
            <w:shd w:val="clear" w:color="auto" w:fill="CCEEFF"/>
          </w:tcPr>
          <w:p>
            <w:pPr>
              <w:ind w:left="840"/>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Item 6.</w:t>
              </w:r>
            </w:hyperlink>
          </w:p>
        </w:tc>
        <w:tc>
          <w:tcPr>
            <w:tcW w:w="6680" w:type="dxa"/>
            <w:vAlign w:val="bottom"/>
            <w:gridSpan w:val="16"/>
            <w:shd w:val="clear" w:color="auto" w:fill="CCEEFF"/>
          </w:tcPr>
          <w:p>
            <w:pPr>
              <w:spacing w:after="0" w:line="176" w:lineRule="exact"/>
              <w:rPr>
                <w:rFonts w:ascii="Arial" w:cs="Arial" w:eastAsia="Arial" w:hAnsi="Arial"/>
                <w:sz w:val="18"/>
                <w:szCs w:val="18"/>
                <w:color w:val="0000EE"/>
              </w:rPr>
            </w:pPr>
            <w:hyperlink w:anchor="page28">
              <w:r>
                <w:rPr>
                  <w:rFonts w:ascii="Arial" w:cs="Arial" w:eastAsia="Arial" w:hAnsi="Arial"/>
                  <w:sz w:val="18"/>
                  <w:szCs w:val="18"/>
                  <w:color w:val="0000EE"/>
                </w:rPr>
                <w:t>Exhibits</w:t>
              </w:r>
            </w:hyperlink>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60" w:type="dxa"/>
            <w:vAlign w:val="bottom"/>
            <w:tcBorders>
              <w:top w:val="single" w:sz="8" w:color="CCEEFF"/>
            </w:tcBorders>
            <w:shd w:val="clear" w:color="auto" w:fill="CCEEFF"/>
          </w:tcPr>
          <w:p>
            <w:pPr>
              <w:spacing w:after="0" w:line="20" w:lineRule="exact"/>
              <w:rPr>
                <w:sz w:val="1"/>
                <w:szCs w:val="1"/>
                <w:color w:val="auto"/>
              </w:rPr>
            </w:pPr>
          </w:p>
        </w:tc>
        <w:tc>
          <w:tcPr>
            <w:tcW w:w="15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BALANCE SHEETS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80" w:type="dxa"/>
            <w:vAlign w:val="bottom"/>
          </w:tcPr>
          <w:p>
            <w:pPr>
              <w:spacing w:after="0"/>
              <w:rPr>
                <w:sz w:val="20"/>
                <w:szCs w:val="20"/>
                <w:color w:val="auto"/>
              </w:rPr>
            </w:pPr>
            <w:r>
              <w:rPr>
                <w:rFonts w:ascii="Arial" w:cs="Arial" w:eastAsia="Arial" w:hAnsi="Arial"/>
                <w:sz w:val="14"/>
                <w:szCs w:val="14"/>
                <w:b w:val="1"/>
                <w:bCs w:val="1"/>
                <w:color w:val="auto"/>
              </w:rPr>
              <w:t>(in thousands, except share data)</w:t>
            </w: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March 31,</w:t>
            </w:r>
          </w:p>
        </w:tc>
        <w:tc>
          <w:tcPr>
            <w:tcW w:w="80" w:type="dxa"/>
            <w:vAlign w:val="bottom"/>
          </w:tcPr>
          <w:p>
            <w:pPr>
              <w:spacing w:after="0"/>
              <w:rPr>
                <w:sz w:val="16"/>
                <w:szCs w:val="16"/>
                <w:color w:val="auto"/>
              </w:rPr>
            </w:pPr>
          </w:p>
        </w:tc>
        <w:tc>
          <w:tcPr>
            <w:tcW w:w="114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0"/>
              </w:rPr>
              <w:t>December 30,</w:t>
            </w:r>
          </w:p>
        </w:tc>
        <w:tc>
          <w:tcPr>
            <w:tcW w:w="160" w:type="dxa"/>
            <w:vAlign w:val="bottom"/>
          </w:tcPr>
          <w:p>
            <w:pPr>
              <w:spacing w:after="0"/>
              <w:rPr>
                <w:sz w:val="16"/>
                <w:szCs w:val="16"/>
                <w:color w:val="auto"/>
              </w:rPr>
            </w:pPr>
          </w:p>
        </w:tc>
        <w:tc>
          <w:tcPr>
            <w:tcW w:w="9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April 1,</w:t>
            </w:r>
          </w:p>
        </w:tc>
        <w:tc>
          <w:tcPr>
            <w:tcW w:w="0" w:type="dxa"/>
            <w:vAlign w:val="bottom"/>
          </w:tcPr>
          <w:p>
            <w:pPr>
              <w:spacing w:after="0"/>
              <w:rPr>
                <w:sz w:val="1"/>
                <w:szCs w:val="1"/>
                <w:color w:val="auto"/>
              </w:rPr>
            </w:pPr>
          </w:p>
        </w:tc>
      </w:tr>
      <w:tr>
        <w:trPr>
          <w:trHeight w:val="111"/>
        </w:trPr>
        <w:tc>
          <w:tcPr>
            <w:tcW w:w="49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gridSpan w:val="2"/>
            <w:vMerge w:val="continue"/>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8"/>
        </w:trPr>
        <w:tc>
          <w:tcPr>
            <w:tcW w:w="498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2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ASSETS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 and cash equivalents</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25,326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28,339</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31,020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ind w:left="120"/>
              <w:spacing w:after="0" w:line="149" w:lineRule="exact"/>
              <w:rPr>
                <w:sz w:val="20"/>
                <w:szCs w:val="20"/>
                <w:color w:val="auto"/>
              </w:rPr>
            </w:pPr>
            <w:r>
              <w:rPr>
                <w:rFonts w:ascii="Arial" w:cs="Arial" w:eastAsia="Arial" w:hAnsi="Arial"/>
                <w:sz w:val="14"/>
                <w:szCs w:val="14"/>
                <w:color w:val="auto"/>
              </w:rPr>
              <w:t>Restricted cash</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32,425</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477</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909</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Investments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10,701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11,269</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5,928</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ind w:left="120"/>
              <w:spacing w:after="0" w:line="149" w:lineRule="exact"/>
              <w:rPr>
                <w:sz w:val="20"/>
                <w:szCs w:val="20"/>
                <w:color w:val="auto"/>
              </w:rPr>
            </w:pPr>
            <w:r>
              <w:rPr>
                <w:rFonts w:ascii="Arial" w:cs="Arial" w:eastAsia="Arial" w:hAnsi="Arial"/>
                <w:sz w:val="14"/>
                <w:szCs w:val="14"/>
                <w:color w:val="auto"/>
              </w:rPr>
              <w:t>Accounts receivable, net</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430,251</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327,751</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365,620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Inventories: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ind w:left="320"/>
              <w:spacing w:after="0" w:line="149" w:lineRule="exact"/>
              <w:rPr>
                <w:sz w:val="20"/>
                <w:szCs w:val="20"/>
                <w:color w:val="auto"/>
              </w:rPr>
            </w:pPr>
            <w:r>
              <w:rPr>
                <w:rFonts w:ascii="Arial" w:cs="Arial" w:eastAsia="Arial" w:hAnsi="Arial"/>
                <w:sz w:val="14"/>
                <w:szCs w:val="14"/>
                <w:color w:val="auto"/>
              </w:rPr>
              <w:t>Raw materials</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261,808</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234,354</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232,647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980" w:type="dxa"/>
            <w:vAlign w:val="bottom"/>
            <w:tcBorders>
              <w:bottom w:val="single" w:sz="8" w:color="CCEEFF"/>
            </w:tcBorders>
            <w:shd w:val="clear" w:color="auto" w:fill="CCEEFF"/>
          </w:tcPr>
          <w:p>
            <w:pPr>
              <w:ind w:left="320"/>
              <w:spacing w:after="0" w:line="149" w:lineRule="exact"/>
              <w:rPr>
                <w:sz w:val="20"/>
                <w:szCs w:val="20"/>
                <w:color w:val="auto"/>
              </w:rPr>
            </w:pPr>
            <w:r>
              <w:rPr>
                <w:rFonts w:ascii="Arial" w:cs="Arial" w:eastAsia="Arial" w:hAnsi="Arial"/>
                <w:sz w:val="14"/>
                <w:szCs w:val="14"/>
                <w:color w:val="auto"/>
              </w:rPr>
              <w:t>Finished goods</w:t>
            </w:r>
          </w:p>
        </w:tc>
        <w:tc>
          <w:tcPr>
            <w:tcW w:w="5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259,898</w:t>
            </w:r>
          </w:p>
        </w:tc>
        <w:tc>
          <w:tcPr>
            <w:tcW w:w="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225,954</w:t>
            </w:r>
          </w:p>
        </w:tc>
        <w:tc>
          <w:tcPr>
            <w:tcW w:w="2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239,369</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980" w:type="dxa"/>
            <w:vAlign w:val="bottom"/>
          </w:tcPr>
          <w:p>
            <w:pPr>
              <w:ind w:left="440"/>
              <w:spacing w:after="0" w:line="136" w:lineRule="exact"/>
              <w:rPr>
                <w:sz w:val="20"/>
                <w:szCs w:val="20"/>
                <w:color w:val="auto"/>
              </w:rPr>
            </w:pPr>
            <w:r>
              <w:rPr>
                <w:rFonts w:ascii="Arial" w:cs="Arial" w:eastAsia="Arial" w:hAnsi="Arial"/>
                <w:sz w:val="14"/>
                <w:szCs w:val="14"/>
                <w:color w:val="auto"/>
              </w:rPr>
              <w:t>Total inventories</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spacing w:after="0" w:line="136" w:lineRule="exact"/>
              <w:rPr>
                <w:sz w:val="20"/>
                <w:szCs w:val="20"/>
                <w:color w:val="auto"/>
              </w:rPr>
            </w:pPr>
            <w:r>
              <w:rPr>
                <w:rFonts w:ascii="Arial" w:cs="Arial" w:eastAsia="Arial" w:hAnsi="Arial"/>
                <w:sz w:val="14"/>
                <w:szCs w:val="14"/>
                <w:color w:val="auto"/>
              </w:rPr>
              <w:t>521,706</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line="136" w:lineRule="exact"/>
              <w:rPr>
                <w:sz w:val="20"/>
                <w:szCs w:val="20"/>
                <w:color w:val="auto"/>
              </w:rPr>
            </w:pPr>
            <w:r>
              <w:rPr>
                <w:rFonts w:ascii="Arial" w:cs="Arial" w:eastAsia="Arial" w:hAnsi="Arial"/>
                <w:sz w:val="14"/>
                <w:szCs w:val="14"/>
                <w:color w:val="auto"/>
              </w:rPr>
              <w:t>460,308</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Arial" w:cs="Arial" w:eastAsia="Arial" w:hAnsi="Arial"/>
                <w:sz w:val="14"/>
                <w:szCs w:val="14"/>
                <w:color w:val="auto"/>
              </w:rPr>
              <w:t>472,016</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Refundable income taxes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7,228</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3,170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80" w:type="dxa"/>
            <w:vAlign w:val="bottom"/>
            <w:tcBorders>
              <w:bottom w:val="single" w:sz="8" w:color="CCEEFF"/>
            </w:tcBorders>
          </w:tcPr>
          <w:p>
            <w:pPr>
              <w:ind w:left="120"/>
              <w:spacing w:after="0" w:line="149" w:lineRule="exact"/>
              <w:rPr>
                <w:sz w:val="20"/>
                <w:szCs w:val="20"/>
                <w:color w:val="auto"/>
              </w:rPr>
            </w:pPr>
            <w:r>
              <w:rPr>
                <w:rFonts w:ascii="Arial" w:cs="Arial" w:eastAsia="Arial" w:hAnsi="Arial"/>
                <w:sz w:val="14"/>
                <w:szCs w:val="14"/>
                <w:color w:val="auto"/>
              </w:rPr>
              <w:t>Other current assets</w:t>
            </w:r>
          </w:p>
        </w:tc>
        <w:tc>
          <w:tcPr>
            <w:tcW w:w="54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23,304</w:t>
            </w:r>
          </w:p>
        </w:tc>
        <w:tc>
          <w:tcPr>
            <w:tcW w:w="2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28,115</w:t>
            </w:r>
          </w:p>
        </w:tc>
        <w:tc>
          <w:tcPr>
            <w:tcW w:w="24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20,650</w:t>
            </w:r>
          </w:p>
        </w:tc>
        <w:tc>
          <w:tcPr>
            <w:tcW w:w="12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TOTAL CURRENT ASSETS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1,043,713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863,487</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899,313</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2,273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1,865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1,960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INVESTMENTS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10,238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8,359</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3,800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line="149" w:lineRule="exact"/>
              <w:rPr>
                <w:sz w:val="20"/>
                <w:szCs w:val="20"/>
                <w:color w:val="auto"/>
              </w:rPr>
            </w:pPr>
            <w:r>
              <w:rPr>
                <w:rFonts w:ascii="Arial" w:cs="Arial" w:eastAsia="Arial" w:hAnsi="Arial"/>
                <w:sz w:val="14"/>
                <w:szCs w:val="14"/>
                <w:color w:val="auto"/>
              </w:rPr>
              <w:t>OTHER ASSETS</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7,123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7,368</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12,573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GOODWILL</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212,596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212,644</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211,061</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line="149" w:lineRule="exact"/>
              <w:rPr>
                <w:sz w:val="20"/>
                <w:szCs w:val="20"/>
                <w:color w:val="auto"/>
              </w:rPr>
            </w:pPr>
            <w:r>
              <w:rPr>
                <w:rFonts w:ascii="Arial" w:cs="Arial" w:eastAsia="Arial" w:hAnsi="Arial"/>
                <w:sz w:val="14"/>
                <w:szCs w:val="14"/>
                <w:color w:val="auto"/>
              </w:rPr>
              <w:t>INDEFINITE-LIVED INTANGIBLE ASSETS</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7,407</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7,415</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2,340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 INTANGIBLE ASSETS, NET</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34,543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34,910</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36,759</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line="149" w:lineRule="exact"/>
              <w:rPr>
                <w:sz w:val="20"/>
                <w:szCs w:val="20"/>
                <w:color w:val="auto"/>
              </w:rPr>
            </w:pPr>
            <w:r>
              <w:rPr>
                <w:rFonts w:ascii="Arial" w:cs="Arial" w:eastAsia="Arial" w:hAnsi="Arial"/>
                <w:sz w:val="14"/>
                <w:szCs w:val="14"/>
                <w:color w:val="auto"/>
              </w:rPr>
              <w:t>PROPERTY, PLANT AND EQUIPMENT:</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Property, plant and equipment</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754,603</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763,101</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720,912</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4980" w:type="dxa"/>
            <w:vAlign w:val="bottom"/>
          </w:tcPr>
          <w:p>
            <w:pPr>
              <w:ind w:left="120"/>
              <w:spacing w:after="0" w:line="149" w:lineRule="exact"/>
              <w:rPr>
                <w:sz w:val="20"/>
                <w:szCs w:val="20"/>
                <w:color w:val="auto"/>
              </w:rPr>
            </w:pPr>
            <w:r>
              <w:rPr>
                <w:rFonts w:ascii="Arial" w:cs="Arial" w:eastAsia="Arial" w:hAnsi="Arial"/>
                <w:sz w:val="14"/>
                <w:szCs w:val="14"/>
                <w:color w:val="auto"/>
              </w:rPr>
              <w:t>Less accumulated depreciation and amortization</w:t>
            </w:r>
          </w:p>
        </w:tc>
        <w:tc>
          <w:tcPr>
            <w:tcW w:w="5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(441,032)</w:t>
            </w:r>
          </w:p>
        </w:tc>
        <w:tc>
          <w:tcPr>
            <w:tcW w:w="80" w:type="dxa"/>
            <w:vAlign w:val="bottom"/>
          </w:tcPr>
          <w:p>
            <w:pPr>
              <w:spacing w:after="0"/>
              <w:rPr>
                <w:sz w:val="13"/>
                <w:szCs w:val="13"/>
                <w:color w:val="auto"/>
              </w:rPr>
            </w:pPr>
          </w:p>
        </w:tc>
        <w:tc>
          <w:tcPr>
            <w:tcW w:w="114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(434,472)</w:t>
            </w:r>
          </w:p>
        </w:tc>
        <w:tc>
          <w:tcPr>
            <w:tcW w:w="160" w:type="dxa"/>
            <w:vAlign w:val="bottom"/>
          </w:tcPr>
          <w:p>
            <w:pPr>
              <w:spacing w:after="0"/>
              <w:rPr>
                <w:sz w:val="13"/>
                <w:szCs w:val="13"/>
                <w:color w:val="auto"/>
              </w:rPr>
            </w:pPr>
          </w:p>
        </w:tc>
        <w:tc>
          <w:tcPr>
            <w:tcW w:w="9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(411,059)</w:t>
            </w:r>
          </w:p>
        </w:tc>
        <w:tc>
          <w:tcPr>
            <w:tcW w:w="0" w:type="dxa"/>
            <w:vAlign w:val="bottom"/>
          </w:tcPr>
          <w:p>
            <w:pPr>
              <w:spacing w:after="0"/>
              <w:rPr>
                <w:sz w:val="1"/>
                <w:szCs w:val="1"/>
                <w:color w:val="auto"/>
              </w:rPr>
            </w:pPr>
          </w:p>
        </w:tc>
      </w:tr>
      <w:tr>
        <w:trPr>
          <w:trHeight w:val="169"/>
        </w:trPr>
        <w:tc>
          <w:tcPr>
            <w:tcW w:w="4980" w:type="dxa"/>
            <w:vAlign w:val="bottom"/>
            <w:tcBorders>
              <w:top w:val="single" w:sz="8" w:color="CCEEFF"/>
              <w:bottom w:val="single" w:sz="8" w:color="CCEEFF"/>
            </w:tcBorders>
            <w:shd w:val="clear" w:color="auto" w:fill="CCEEFF"/>
          </w:tcPr>
          <w:p>
            <w:pPr>
              <w:ind w:left="360"/>
              <w:spacing w:after="0" w:line="149" w:lineRule="exact"/>
              <w:rPr>
                <w:sz w:val="20"/>
                <w:szCs w:val="20"/>
                <w:color w:val="auto"/>
              </w:rPr>
            </w:pPr>
            <w:r>
              <w:rPr>
                <w:rFonts w:ascii="Arial" w:cs="Arial" w:eastAsia="Arial" w:hAnsi="Arial"/>
                <w:sz w:val="14"/>
                <w:szCs w:val="14"/>
                <w:color w:val="auto"/>
              </w:rPr>
              <w:t>PROPERTY, PLANT AND EQUIPMENT, NET</w:t>
            </w:r>
          </w:p>
        </w:tc>
        <w:tc>
          <w:tcPr>
            <w:tcW w:w="540" w:type="dxa"/>
            <w:vAlign w:val="bottom"/>
            <w:tcBorders>
              <w:top w:val="single" w:sz="8" w:color="CCEEFF"/>
              <w:bottom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86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313,571</w:t>
            </w:r>
          </w:p>
        </w:tc>
        <w:tc>
          <w:tcPr>
            <w:tcW w:w="220" w:type="dxa"/>
            <w:vAlign w:val="bottom"/>
            <w:tcBorders>
              <w:top w:val="single" w:sz="8" w:color="CCEEFF"/>
              <w:bottom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spacing w:after="0"/>
              <w:rPr>
                <w:sz w:val="14"/>
                <w:szCs w:val="14"/>
                <w:color w:val="auto"/>
              </w:rPr>
            </w:pPr>
          </w:p>
        </w:tc>
        <w:tc>
          <w:tcPr>
            <w:tcW w:w="90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328,629</w:t>
            </w:r>
          </w:p>
        </w:tc>
        <w:tc>
          <w:tcPr>
            <w:tcW w:w="240" w:type="dxa"/>
            <w:vAlign w:val="bottom"/>
            <w:tcBorders>
              <w:top w:val="single" w:sz="8" w:color="CCEEFF"/>
              <w:bottom w:val="single" w:sz="8" w:color="CCEEFF"/>
            </w:tcBorders>
            <w:shd w:val="clear" w:color="auto" w:fill="CCEEFF"/>
          </w:tcPr>
          <w:p>
            <w:pPr>
              <w:spacing w:after="0"/>
              <w:rPr>
                <w:sz w:val="14"/>
                <w:szCs w:val="14"/>
                <w:color w:val="auto"/>
              </w:rPr>
            </w:pPr>
          </w:p>
        </w:tc>
        <w:tc>
          <w:tcPr>
            <w:tcW w:w="160" w:type="dxa"/>
            <w:vAlign w:val="bottom"/>
            <w:tcBorders>
              <w:top w:val="single" w:sz="8" w:color="auto"/>
              <w:bottom w:val="single" w:sz="8" w:color="auto"/>
            </w:tcBorders>
            <w:shd w:val="clear" w:color="auto" w:fill="CCEEFF"/>
          </w:tcPr>
          <w:p>
            <w:pPr>
              <w:spacing w:after="0"/>
              <w:rPr>
                <w:sz w:val="14"/>
                <w:szCs w:val="14"/>
                <w:color w:val="auto"/>
              </w:rPr>
            </w:pPr>
          </w:p>
        </w:tc>
        <w:tc>
          <w:tcPr>
            <w:tcW w:w="820" w:type="dxa"/>
            <w:vAlign w:val="bottom"/>
            <w:tcBorders>
              <w:top w:val="single" w:sz="8" w:color="auto"/>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309,853</w:t>
            </w:r>
          </w:p>
        </w:tc>
        <w:tc>
          <w:tcPr>
            <w:tcW w:w="120" w:type="dxa"/>
            <w:vAlign w:val="bottom"/>
            <w:tcBorders>
              <w:top w:val="single" w:sz="8" w:color="CCEEFF"/>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980" w:type="dxa"/>
            <w:vAlign w:val="bottom"/>
            <w:tcBorders>
              <w:bottom w:val="single" w:sz="8" w:color="CCEEFF"/>
            </w:tcBorders>
          </w:tcPr>
          <w:p>
            <w:pPr>
              <w:spacing w:after="0" w:line="163" w:lineRule="exact"/>
              <w:rPr>
                <w:sz w:val="20"/>
                <w:szCs w:val="20"/>
                <w:color w:val="auto"/>
              </w:rPr>
            </w:pPr>
            <w:r>
              <w:rPr>
                <w:rFonts w:ascii="Arial" w:cs="Arial" w:eastAsia="Arial" w:hAnsi="Arial"/>
                <w:sz w:val="16"/>
                <w:szCs w:val="16"/>
                <w:color w:val="auto"/>
              </w:rPr>
              <w:t>TOTAL ASSETS</w:t>
            </w:r>
          </w:p>
        </w:tc>
        <w:tc>
          <w:tcPr>
            <w:tcW w:w="54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1,631,464</w:t>
            </w:r>
          </w:p>
        </w:tc>
        <w:tc>
          <w:tcPr>
            <w:tcW w:w="2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1,464,677</w:t>
            </w:r>
          </w:p>
        </w:tc>
        <w:tc>
          <w:tcPr>
            <w:tcW w:w="2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1,477,659</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LIABILITIES AND SHAREHOLDERS’ EQUITY</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line="149" w:lineRule="exact"/>
              <w:rPr>
                <w:sz w:val="20"/>
                <w:szCs w:val="20"/>
                <w:color w:val="auto"/>
              </w:rPr>
            </w:pPr>
            <w:r>
              <w:rPr>
                <w:rFonts w:ascii="Arial" w:cs="Arial" w:eastAsia="Arial" w:hAnsi="Arial"/>
                <w:sz w:val="14"/>
                <w:szCs w:val="14"/>
                <w:color w:val="auto"/>
              </w:rPr>
              <w:t>CURRENT LIABILITIES:</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Cash overdraft</w:t>
            </w:r>
          </w:p>
        </w:tc>
        <w:tc>
          <w:tcPr>
            <w:tcW w:w="68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30,026</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25,851</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21,566</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ind w:left="120"/>
              <w:spacing w:after="0" w:line="149" w:lineRule="exact"/>
              <w:rPr>
                <w:sz w:val="20"/>
                <w:szCs w:val="20"/>
                <w:color w:val="auto"/>
              </w:rPr>
            </w:pPr>
            <w:r>
              <w:rPr>
                <w:rFonts w:ascii="Arial" w:cs="Arial" w:eastAsia="Arial" w:hAnsi="Arial"/>
                <w:sz w:val="14"/>
                <w:szCs w:val="14"/>
                <w:color w:val="auto"/>
              </w:rPr>
              <w:t>Accounts payable</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176,469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140,106</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156,030</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Accrued liabilities: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ind w:left="320"/>
              <w:spacing w:after="0" w:line="149" w:lineRule="exact"/>
              <w:rPr>
                <w:sz w:val="20"/>
                <w:szCs w:val="20"/>
                <w:color w:val="auto"/>
              </w:rPr>
            </w:pPr>
            <w:r>
              <w:rPr>
                <w:rFonts w:ascii="Arial" w:cs="Arial" w:eastAsia="Arial" w:hAnsi="Arial"/>
                <w:sz w:val="14"/>
                <w:szCs w:val="14"/>
                <w:color w:val="auto"/>
              </w:rPr>
              <w:t>Compensation and benefits</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61,976</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97,556</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58,491</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Income taxes</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1,600</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4980" w:type="dxa"/>
            <w:vAlign w:val="bottom"/>
          </w:tcPr>
          <w:p>
            <w:pPr>
              <w:ind w:left="320"/>
              <w:spacing w:after="0" w:line="149" w:lineRule="exact"/>
              <w:rPr>
                <w:sz w:val="20"/>
                <w:szCs w:val="20"/>
                <w:color w:val="auto"/>
              </w:rPr>
            </w:pPr>
            <w:r>
              <w:rPr>
                <w:rFonts w:ascii="Arial" w:cs="Arial" w:eastAsia="Arial" w:hAnsi="Arial"/>
                <w:sz w:val="14"/>
                <w:szCs w:val="14"/>
                <w:color w:val="auto"/>
              </w:rPr>
              <w:t>Other</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42,633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38,404</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39,473</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980" w:type="dxa"/>
            <w:vAlign w:val="bottom"/>
            <w:tcBorders>
              <w:bottom w:val="single" w:sz="8" w:color="CCEEFF"/>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Current portion of long-term debt</w:t>
            </w:r>
          </w:p>
        </w:tc>
        <w:tc>
          <w:tcPr>
            <w:tcW w:w="5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425</w:t>
            </w:r>
          </w:p>
        </w:tc>
        <w:tc>
          <w:tcPr>
            <w:tcW w:w="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1,329</w:t>
            </w:r>
          </w:p>
        </w:tc>
        <w:tc>
          <w:tcPr>
            <w:tcW w:w="2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2,280</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6"/>
        </w:trPr>
        <w:tc>
          <w:tcPr>
            <w:tcW w:w="4980" w:type="dxa"/>
            <w:vAlign w:val="bottom"/>
          </w:tcPr>
          <w:p>
            <w:pPr>
              <w:ind w:left="440"/>
              <w:spacing w:after="0" w:line="136" w:lineRule="exact"/>
              <w:rPr>
                <w:sz w:val="20"/>
                <w:szCs w:val="20"/>
                <w:color w:val="auto"/>
              </w:rPr>
            </w:pPr>
            <w:r>
              <w:rPr>
                <w:rFonts w:ascii="Arial" w:cs="Arial" w:eastAsia="Arial" w:hAnsi="Arial"/>
                <w:sz w:val="14"/>
                <w:szCs w:val="14"/>
                <w:color w:val="auto"/>
              </w:rPr>
              <w:t>TOTAL CURRENT LIABILITIES</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spacing w:after="0" w:line="136" w:lineRule="exact"/>
              <w:rPr>
                <w:sz w:val="20"/>
                <w:szCs w:val="20"/>
                <w:color w:val="auto"/>
              </w:rPr>
            </w:pPr>
            <w:r>
              <w:rPr>
                <w:rFonts w:ascii="Arial" w:cs="Arial" w:eastAsia="Arial" w:hAnsi="Arial"/>
                <w:sz w:val="14"/>
                <w:szCs w:val="14"/>
                <w:color w:val="auto"/>
              </w:rPr>
              <w:t>313,129</w:t>
            </w: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jc w:val="right"/>
              <w:spacing w:after="0" w:line="136" w:lineRule="exact"/>
              <w:rPr>
                <w:sz w:val="20"/>
                <w:szCs w:val="20"/>
                <w:color w:val="auto"/>
              </w:rPr>
            </w:pPr>
            <w:r>
              <w:rPr>
                <w:rFonts w:ascii="Arial" w:cs="Arial" w:eastAsia="Arial" w:hAnsi="Arial"/>
                <w:sz w:val="14"/>
                <w:szCs w:val="14"/>
                <w:color w:val="auto"/>
              </w:rPr>
              <w:t>303,246</w:t>
            </w: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right"/>
              <w:spacing w:after="0" w:line="136" w:lineRule="exact"/>
              <w:rPr>
                <w:sz w:val="20"/>
                <w:szCs w:val="20"/>
                <w:color w:val="auto"/>
              </w:rPr>
            </w:pPr>
            <w:r>
              <w:rPr>
                <w:rFonts w:ascii="Arial" w:cs="Arial" w:eastAsia="Arial" w:hAnsi="Arial"/>
                <w:sz w:val="14"/>
                <w:szCs w:val="14"/>
                <w:color w:val="auto"/>
              </w:rPr>
              <w:t>277,840</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LONG-TERM DEBT</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261,327</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144,674</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252,904</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spacing w:after="0" w:line="149" w:lineRule="exact"/>
              <w:rPr>
                <w:sz w:val="20"/>
                <w:szCs w:val="20"/>
                <w:color w:val="auto"/>
              </w:rPr>
            </w:pPr>
            <w:r>
              <w:rPr>
                <w:rFonts w:ascii="Arial" w:cs="Arial" w:eastAsia="Arial" w:hAnsi="Arial"/>
                <w:sz w:val="14"/>
                <w:szCs w:val="14"/>
                <w:color w:val="auto"/>
              </w:rPr>
              <w:t>DEFERRED INCOME TAXES</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13,894</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14,079</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21,364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98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OTHER LIABILITIES</w:t>
            </w:r>
          </w:p>
        </w:tc>
        <w:tc>
          <w:tcPr>
            <w:tcW w:w="5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26,192</w:t>
            </w:r>
          </w:p>
        </w:tc>
        <w:tc>
          <w:tcPr>
            <w:tcW w:w="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28,655</w:t>
            </w:r>
          </w:p>
        </w:tc>
        <w:tc>
          <w:tcPr>
            <w:tcW w:w="2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28,198</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980" w:type="dxa"/>
            <w:vAlign w:val="bottom"/>
          </w:tcPr>
          <w:p>
            <w:pPr>
              <w:ind w:left="440"/>
              <w:spacing w:after="0" w:line="176" w:lineRule="exact"/>
              <w:rPr>
                <w:sz w:val="20"/>
                <w:szCs w:val="20"/>
                <w:color w:val="auto"/>
              </w:rPr>
            </w:pPr>
            <w:r>
              <w:rPr>
                <w:rFonts w:ascii="Arial" w:cs="Arial" w:eastAsia="Arial" w:hAnsi="Arial"/>
                <w:sz w:val="16"/>
                <w:szCs w:val="16"/>
                <w:color w:val="auto"/>
              </w:rPr>
              <w:t>TOTAL LIABILITIES</w:t>
            </w:r>
          </w:p>
        </w:tc>
        <w:tc>
          <w:tcPr>
            <w:tcW w:w="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614,542</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490,654</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580,306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SHAREHOLDERS’ EQUITY:</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ind w:left="120"/>
              <w:spacing w:after="0" w:line="149" w:lineRule="exact"/>
              <w:rPr>
                <w:sz w:val="20"/>
                <w:szCs w:val="20"/>
                <w:color w:val="auto"/>
              </w:rPr>
            </w:pPr>
            <w:r>
              <w:rPr>
                <w:rFonts w:ascii="Arial" w:cs="Arial" w:eastAsia="Arial" w:hAnsi="Arial"/>
                <w:sz w:val="14"/>
                <w:szCs w:val="14"/>
                <w:color w:val="auto"/>
              </w:rPr>
              <w:t>Controlling interest shareholders’ equity:</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4980" w:type="dxa"/>
            <w:vAlign w:val="bottom"/>
            <w:shd w:val="clear" w:color="auto" w:fill="CCEEFF"/>
          </w:tcPr>
          <w:p>
            <w:pPr>
              <w:ind w:left="320"/>
              <w:spacing w:after="0" w:line="130" w:lineRule="exact"/>
              <w:rPr>
                <w:sz w:val="20"/>
                <w:szCs w:val="20"/>
                <w:color w:val="auto"/>
              </w:rPr>
            </w:pPr>
            <w:r>
              <w:rPr>
                <w:rFonts w:ascii="Arial" w:cs="Arial" w:eastAsia="Arial" w:hAnsi="Arial"/>
                <w:sz w:val="14"/>
                <w:szCs w:val="14"/>
                <w:color w:val="auto"/>
              </w:rPr>
              <w:t>Preferred stock, no par value; shares authorized 1,000,000; issued and</w:t>
            </w: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980" w:type="dxa"/>
            <w:vAlign w:val="bottom"/>
            <w:shd w:val="clear" w:color="auto" w:fill="CCEEFF"/>
          </w:tcPr>
          <w:p>
            <w:pPr>
              <w:ind w:left="320"/>
              <w:spacing w:after="0"/>
              <w:rPr>
                <w:sz w:val="20"/>
                <w:szCs w:val="20"/>
                <w:color w:val="auto"/>
              </w:rPr>
            </w:pPr>
            <w:r>
              <w:rPr>
                <w:rFonts w:ascii="Arial" w:cs="Arial" w:eastAsia="Arial" w:hAnsi="Arial"/>
                <w:sz w:val="14"/>
                <w:szCs w:val="14"/>
                <w:color w:val="auto"/>
              </w:rPr>
              <w:t>outstanding, none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4980" w:type="dxa"/>
            <w:vAlign w:val="bottom"/>
          </w:tcPr>
          <w:p>
            <w:pPr>
              <w:ind w:left="320"/>
              <w:spacing w:after="0" w:line="130" w:lineRule="exact"/>
              <w:rPr>
                <w:sz w:val="20"/>
                <w:szCs w:val="20"/>
                <w:color w:val="auto"/>
              </w:rPr>
            </w:pPr>
            <w:r>
              <w:rPr>
                <w:rFonts w:ascii="Arial" w:cs="Arial" w:eastAsia="Arial" w:hAnsi="Arial"/>
                <w:sz w:val="14"/>
                <w:szCs w:val="14"/>
                <w:color w:val="auto"/>
              </w:rPr>
              <w:t>Common stock, $1 par value; shares authorized 80,000,000; issued and</w:t>
            </w: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4980" w:type="dxa"/>
            <w:vAlign w:val="bottom"/>
          </w:tcPr>
          <w:p>
            <w:pPr>
              <w:ind w:left="320"/>
              <w:spacing w:after="0"/>
              <w:rPr>
                <w:sz w:val="20"/>
                <w:szCs w:val="20"/>
                <w:color w:val="auto"/>
              </w:rPr>
            </w:pPr>
            <w:r>
              <w:rPr>
                <w:rFonts w:ascii="Arial" w:cs="Arial" w:eastAsia="Arial" w:hAnsi="Arial"/>
                <w:sz w:val="14"/>
                <w:szCs w:val="14"/>
                <w:color w:val="auto"/>
              </w:rPr>
              <w:t>outstanding, 61,543,902, 61,191,888 and 61,554,147</w:t>
            </w:r>
          </w:p>
        </w:tc>
        <w:tc>
          <w:tcPr>
            <w:tcW w:w="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61,544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61,192</w:t>
            </w: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61,554</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9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Additional paid-in capital</w:t>
            </w: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172,929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161,928</w:t>
            </w:r>
          </w:p>
        </w:tc>
        <w:tc>
          <w:tcPr>
            <w:tcW w:w="2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156,320</w:t>
            </w:r>
          </w:p>
        </w:tc>
        <w:tc>
          <w:tcPr>
            <w:tcW w:w="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80" w:type="dxa"/>
            <w:vAlign w:val="bottom"/>
          </w:tcPr>
          <w:p>
            <w:pPr>
              <w:ind w:left="320"/>
              <w:spacing w:after="0" w:line="149" w:lineRule="exact"/>
              <w:rPr>
                <w:sz w:val="20"/>
                <w:szCs w:val="20"/>
                <w:color w:val="auto"/>
              </w:rPr>
            </w:pPr>
            <w:r>
              <w:rPr>
                <w:rFonts w:ascii="Arial" w:cs="Arial" w:eastAsia="Arial" w:hAnsi="Arial"/>
                <w:sz w:val="14"/>
                <w:szCs w:val="14"/>
                <w:color w:val="auto"/>
              </w:rPr>
              <w:t>Retained earnings</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768,223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736,212</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670,115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49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Accumulated other comprehensive income</w:t>
            </w:r>
          </w:p>
        </w:tc>
        <w:tc>
          <w:tcPr>
            <w:tcW w:w="5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(1,140)</w:t>
            </w: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w:t>
            </w:r>
          </w:p>
        </w:tc>
        <w:tc>
          <w:tcPr>
            <w:tcW w:w="2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(3,450)</w:t>
            </w:r>
          </w:p>
        </w:tc>
        <w:tc>
          <w:tcPr>
            <w:tcW w:w="0" w:type="dxa"/>
            <w:vAlign w:val="bottom"/>
          </w:tcPr>
          <w:p>
            <w:pPr>
              <w:spacing w:after="0"/>
              <w:rPr>
                <w:sz w:val="1"/>
                <w:szCs w:val="1"/>
                <w:color w:val="auto"/>
              </w:rPr>
            </w:pPr>
          </w:p>
        </w:tc>
      </w:tr>
      <w:tr>
        <w:trPr>
          <w:trHeight w:val="136"/>
        </w:trPr>
        <w:tc>
          <w:tcPr>
            <w:tcW w:w="4980" w:type="dxa"/>
            <w:vAlign w:val="bottom"/>
            <w:tcBorders>
              <w:top w:val="single" w:sz="8" w:color="CCEEFF"/>
            </w:tcBorders>
          </w:tcPr>
          <w:p>
            <w:pPr>
              <w:ind w:left="440"/>
              <w:spacing w:after="0" w:line="136" w:lineRule="exact"/>
              <w:rPr>
                <w:sz w:val="20"/>
                <w:szCs w:val="20"/>
                <w:color w:val="auto"/>
              </w:rPr>
            </w:pPr>
            <w:r>
              <w:rPr>
                <w:rFonts w:ascii="Arial" w:cs="Arial" w:eastAsia="Arial" w:hAnsi="Arial"/>
                <w:sz w:val="14"/>
                <w:szCs w:val="14"/>
                <w:color w:val="auto"/>
              </w:rPr>
              <w:t>Total controlling interest shareholders’ equity</w:t>
            </w:r>
          </w:p>
        </w:tc>
        <w:tc>
          <w:tcPr>
            <w:tcW w:w="540" w:type="dxa"/>
            <w:vAlign w:val="bottom"/>
            <w:tcBorders>
              <w:top w:val="single" w:sz="8" w:color="CCEEFF"/>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1,001,556</w:t>
            </w:r>
          </w:p>
        </w:tc>
        <w:tc>
          <w:tcPr>
            <w:tcW w:w="22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959,476</w:t>
            </w:r>
          </w:p>
        </w:tc>
        <w:tc>
          <w:tcPr>
            <w:tcW w:w="240" w:type="dxa"/>
            <w:vAlign w:val="bottom"/>
            <w:tcBorders>
              <w:top w:val="single" w:sz="8" w:color="CCEEFF"/>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jc w:val="right"/>
              <w:spacing w:after="0" w:line="136" w:lineRule="exact"/>
              <w:rPr>
                <w:sz w:val="20"/>
                <w:szCs w:val="20"/>
                <w:color w:val="auto"/>
              </w:rPr>
            </w:pPr>
            <w:r>
              <w:rPr>
                <w:rFonts w:ascii="Arial" w:cs="Arial" w:eastAsia="Arial" w:hAnsi="Arial"/>
                <w:sz w:val="14"/>
                <w:szCs w:val="14"/>
                <w:color w:val="auto"/>
              </w:rPr>
              <w:t>884,539</w:t>
            </w:r>
          </w:p>
        </w:tc>
        <w:tc>
          <w:tcPr>
            <w:tcW w:w="120" w:type="dxa"/>
            <w:vAlign w:val="bottom"/>
            <w:tcBorders>
              <w:top w:val="single" w:sz="8" w:color="CCEEFF"/>
            </w:tcBorders>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4980" w:type="dxa"/>
            <w:vAlign w:val="bottom"/>
            <w:tcBorders>
              <w:bottom w:val="single" w:sz="8" w:color="CCEEFF"/>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Noncontrolling interest</w:t>
            </w:r>
          </w:p>
        </w:tc>
        <w:tc>
          <w:tcPr>
            <w:tcW w:w="54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15,366</w:t>
            </w:r>
          </w:p>
        </w:tc>
        <w:tc>
          <w:tcPr>
            <w:tcW w:w="22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14,547</w:t>
            </w:r>
          </w:p>
        </w:tc>
        <w:tc>
          <w:tcPr>
            <w:tcW w:w="24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12,814</w:t>
            </w:r>
          </w:p>
        </w:tc>
        <w:tc>
          <w:tcPr>
            <w:tcW w:w="1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3"/>
        </w:trPr>
        <w:tc>
          <w:tcPr>
            <w:tcW w:w="4980" w:type="dxa"/>
            <w:vAlign w:val="bottom"/>
            <w:tcBorders>
              <w:bottom w:val="single" w:sz="8" w:color="CCEEFF"/>
            </w:tcBorders>
          </w:tcPr>
          <w:p>
            <w:pPr>
              <w:ind w:left="440"/>
              <w:spacing w:after="0" w:line="136" w:lineRule="exact"/>
              <w:rPr>
                <w:sz w:val="20"/>
                <w:szCs w:val="20"/>
                <w:color w:val="auto"/>
              </w:rPr>
            </w:pPr>
            <w:r>
              <w:rPr>
                <w:rFonts w:ascii="Arial" w:cs="Arial" w:eastAsia="Arial" w:hAnsi="Arial"/>
                <w:sz w:val="14"/>
                <w:szCs w:val="14"/>
                <w:color w:val="auto"/>
              </w:rPr>
              <w:t>TOTAL SHAREHOLDERS’ EQUITY</w:t>
            </w:r>
          </w:p>
        </w:tc>
        <w:tc>
          <w:tcPr>
            <w:tcW w:w="5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1,016,922</w:t>
            </w: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974,023</w:t>
            </w:r>
          </w:p>
        </w:tc>
        <w:tc>
          <w:tcPr>
            <w:tcW w:w="2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36" w:lineRule="exact"/>
              <w:rPr>
                <w:sz w:val="20"/>
                <w:szCs w:val="20"/>
                <w:color w:val="auto"/>
              </w:rPr>
            </w:pPr>
            <w:r>
              <w:rPr>
                <w:rFonts w:ascii="Arial" w:cs="Arial" w:eastAsia="Arial" w:hAnsi="Arial"/>
                <w:sz w:val="14"/>
                <w:szCs w:val="14"/>
                <w:color w:val="auto"/>
              </w:rPr>
              <w:t>897,353</w:t>
            </w:r>
          </w:p>
        </w:tc>
        <w:tc>
          <w:tcPr>
            <w:tcW w:w="12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49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6"/>
                <w:szCs w:val="16"/>
                <w:color w:val="auto"/>
              </w:rPr>
              <w:t>TOTAL LIABILITIES AND SHAREHOLDERS’ EQUITY</w:t>
            </w:r>
          </w:p>
        </w:tc>
        <w:tc>
          <w:tcPr>
            <w:tcW w:w="5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1,631,464</w:t>
            </w:r>
          </w:p>
        </w:tc>
        <w:tc>
          <w:tcPr>
            <w:tcW w:w="2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1,464,677</w:t>
            </w:r>
          </w:p>
        </w:tc>
        <w:tc>
          <w:tcPr>
            <w:tcW w:w="2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1,477,659</w:t>
            </w:r>
          </w:p>
        </w:tc>
        <w:tc>
          <w:tcPr>
            <w:tcW w:w="1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ind w:left="1440" w:right="1940"/>
        <w:spacing w:after="0" w:line="275" w:lineRule="auto"/>
        <w:rPr>
          <w:sz w:val="20"/>
          <w:szCs w:val="20"/>
          <w:color w:val="auto"/>
        </w:rPr>
      </w:pPr>
      <w:r>
        <w:rPr>
          <w:rFonts w:ascii="Arial" w:cs="Arial" w:eastAsia="Arial" w:hAnsi="Arial"/>
          <w:sz w:val="18"/>
          <w:szCs w:val="18"/>
          <w:b w:val="1"/>
          <w:bCs w:val="1"/>
          <w:color w:val="auto"/>
        </w:rPr>
        <w:t>CONSOLIDATED CONDENSED STATEMENTS OF EARNINGS AND COMPREHENSIVE INCOME (Unaudited)</w:t>
      </w:r>
    </w:p>
    <w:p>
      <w:pPr>
        <w:spacing w:after="0" w:line="39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 thousands, except per share data)</w:t>
      </w:r>
    </w:p>
    <w:tbl>
      <w:tblPr>
        <w:tblLayout w:type="fixed"/>
        <w:tblInd w:w="0" w:type="dxa"/>
        <w:tblCellMar>
          <w:top w:w="0" w:type="dxa"/>
          <w:left w:w="0" w:type="dxa"/>
          <w:bottom w:w="0" w:type="dxa"/>
          <w:right w:w="0" w:type="dxa"/>
        </w:tblCellMar>
      </w:tblPr>
      <w:tr>
        <w:trPr>
          <w:trHeight w:val="166"/>
        </w:trPr>
        <w:tc>
          <w:tcPr>
            <w:tcW w:w="6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20" w:type="dxa"/>
            <w:vAlign w:val="bottom"/>
            <w:gridSpan w:val="5"/>
          </w:tcPr>
          <w:p>
            <w:pPr>
              <w:ind w:left="360"/>
              <w:spacing w:after="0" w:line="159" w:lineRule="exact"/>
              <w:rPr>
                <w:sz w:val="20"/>
                <w:szCs w:val="20"/>
                <w:color w:val="auto"/>
              </w:rPr>
            </w:pPr>
            <w:r>
              <w:rPr>
                <w:rFonts w:ascii="Arial" w:cs="Arial" w:eastAsia="Arial" w:hAnsi="Arial"/>
                <w:sz w:val="14"/>
                <w:szCs w:val="14"/>
                <w:b w:val="1"/>
                <w:bCs w:val="1"/>
                <w:color w:val="auto"/>
              </w:rPr>
              <w:t>Three Months Ended</w:t>
            </w:r>
          </w:p>
        </w:tc>
      </w:tr>
      <w:tr>
        <w:trPr>
          <w:trHeight w:val="126"/>
        </w:trPr>
        <w:tc>
          <w:tcPr>
            <w:tcW w:w="648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20" w:type="dxa"/>
            <w:vAlign w:val="bottom"/>
            <w:tcBorders>
              <w:top w:val="single" w:sz="8" w:color="auto"/>
            </w:tcBorders>
            <w:gridSpan w:val="2"/>
          </w:tcPr>
          <w:p>
            <w:pPr>
              <w:ind w:left="60"/>
              <w:spacing w:after="0" w:line="126" w:lineRule="exact"/>
              <w:rPr>
                <w:sz w:val="20"/>
                <w:szCs w:val="20"/>
                <w:color w:val="auto"/>
              </w:rPr>
            </w:pPr>
            <w:r>
              <w:rPr>
                <w:rFonts w:ascii="Arial" w:cs="Arial" w:eastAsia="Arial" w:hAnsi="Arial"/>
                <w:sz w:val="14"/>
                <w:szCs w:val="14"/>
                <w:b w:val="1"/>
                <w:bCs w:val="1"/>
                <w:color w:val="auto"/>
              </w:rPr>
              <w:t>March 31,</w:t>
            </w:r>
          </w:p>
        </w:tc>
        <w:tc>
          <w:tcPr>
            <w:tcW w:w="2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211"/>
              <w:spacing w:after="0" w:line="126" w:lineRule="exact"/>
              <w:rPr>
                <w:sz w:val="20"/>
                <w:szCs w:val="20"/>
                <w:color w:val="auto"/>
              </w:rPr>
            </w:pPr>
            <w:r>
              <w:rPr>
                <w:rFonts w:ascii="Arial" w:cs="Arial" w:eastAsia="Arial" w:hAnsi="Arial"/>
                <w:sz w:val="14"/>
                <w:szCs w:val="14"/>
                <w:b w:val="1"/>
                <w:bCs w:val="1"/>
                <w:color w:val="auto"/>
              </w:rPr>
              <w:t>April 1,</w:t>
            </w:r>
          </w:p>
        </w:tc>
        <w:tc>
          <w:tcPr>
            <w:tcW w:w="220" w:type="dxa"/>
            <w:vAlign w:val="bottom"/>
          </w:tcPr>
          <w:p>
            <w:pPr>
              <w:spacing w:after="0"/>
              <w:rPr>
                <w:sz w:val="10"/>
                <w:szCs w:val="10"/>
                <w:color w:val="auto"/>
              </w:rPr>
            </w:pPr>
          </w:p>
        </w:tc>
      </w:tr>
      <w:tr>
        <w:trPr>
          <w:trHeight w:val="178"/>
        </w:trPr>
        <w:tc>
          <w:tcPr>
            <w:tcW w:w="64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1"/>
              <w:spacing w:after="0"/>
              <w:rPr>
                <w:sz w:val="20"/>
                <w:szCs w:val="20"/>
                <w:color w:val="auto"/>
              </w:rPr>
            </w:pPr>
            <w:r>
              <w:rPr>
                <w:rFonts w:ascii="Arial" w:cs="Arial" w:eastAsia="Arial" w:hAnsi="Arial"/>
                <w:sz w:val="14"/>
                <w:szCs w:val="14"/>
                <w:b w:val="1"/>
                <w:bCs w:val="1"/>
                <w:color w:val="auto"/>
              </w:rPr>
              <w:t>2017</w:t>
            </w:r>
          </w:p>
        </w:tc>
        <w:tc>
          <w:tcPr>
            <w:tcW w:w="220" w:type="dxa"/>
            <w:vAlign w:val="bottom"/>
            <w:tcBorders>
              <w:bottom w:val="single" w:sz="8" w:color="CCEEFF"/>
            </w:tcBorders>
          </w:tcPr>
          <w:p>
            <w:pPr>
              <w:spacing w:after="0"/>
              <w:rPr>
                <w:sz w:val="15"/>
                <w:szCs w:val="15"/>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993,857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846,130</w:t>
            </w:r>
          </w:p>
        </w:tc>
        <w:tc>
          <w:tcPr>
            <w:tcW w:w="220" w:type="dxa"/>
            <w:vAlign w:val="bottom"/>
            <w:shd w:val="clear" w:color="auto" w:fill="CCEEFF"/>
          </w:tcPr>
          <w:p>
            <w:pPr>
              <w:spacing w:after="0"/>
              <w:rPr>
                <w:sz w:val="18"/>
                <w:szCs w:val="18"/>
                <w:color w:val="auto"/>
              </w:rPr>
            </w:pPr>
          </w:p>
        </w:tc>
      </w:tr>
      <w:tr>
        <w:trPr>
          <w:trHeight w:val="223"/>
        </w:trPr>
        <w:tc>
          <w:tcPr>
            <w:tcW w:w="64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COST OF GOODS SOLD</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862,968</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725,390</w:t>
            </w:r>
          </w:p>
        </w:tc>
        <w:tc>
          <w:tcPr>
            <w:tcW w:w="220" w:type="dxa"/>
            <w:vAlign w:val="bottom"/>
            <w:tcBorders>
              <w:bottom w:val="single" w:sz="8" w:color="CCEEFF"/>
            </w:tcBorders>
          </w:tcPr>
          <w:p>
            <w:pPr>
              <w:spacing w:after="0"/>
              <w:rPr>
                <w:sz w:val="19"/>
                <w:szCs w:val="19"/>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GROSS PROFIT</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130,889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120,740</w:t>
            </w:r>
          </w:p>
        </w:tc>
        <w:tc>
          <w:tcPr>
            <w:tcW w:w="22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1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93,206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86,983</w:t>
            </w:r>
          </w:p>
        </w:tc>
        <w:tc>
          <w:tcPr>
            <w:tcW w:w="220" w:type="dxa"/>
            <w:vAlign w:val="bottom"/>
          </w:tcPr>
          <w:p>
            <w:pPr>
              <w:spacing w:after="0"/>
              <w:rPr>
                <w:sz w:val="18"/>
                <w:szCs w:val="18"/>
                <w:color w:val="auto"/>
              </w:rPr>
            </w:pPr>
          </w:p>
        </w:tc>
      </w:tr>
      <w:tr>
        <w:trPr>
          <w:trHeight w:val="236"/>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NET GAIN ON DISPOSITION OF ASSETS</w:t>
            </w: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(6,534)</w:t>
            </w: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CEEFF"/>
          </w:tcPr>
          <w:p>
            <w:pPr>
              <w:spacing w:after="0"/>
              <w:rPr>
                <w:sz w:val="20"/>
                <w:szCs w:val="20"/>
                <w:color w:val="auto"/>
              </w:rPr>
            </w:pPr>
          </w:p>
        </w:tc>
      </w:tr>
      <w:tr>
        <w:trPr>
          <w:trHeight w:val="203"/>
        </w:trPr>
        <w:tc>
          <w:tcPr>
            <w:tcW w:w="648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EARNINGS FROM OPERATIONS</w:t>
            </w:r>
          </w:p>
        </w:tc>
        <w:tc>
          <w:tcPr>
            <w:tcW w:w="16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44,217</w:t>
            </w:r>
          </w:p>
        </w:tc>
        <w:tc>
          <w:tcPr>
            <w:tcW w:w="2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33,821</w:t>
            </w:r>
          </w:p>
        </w:tc>
        <w:tc>
          <w:tcPr>
            <w:tcW w:w="220" w:type="dxa"/>
            <w:vAlign w:val="bottom"/>
            <w:tcBorders>
              <w:top w:val="single" w:sz="8" w:color="CCEEFF"/>
            </w:tcBorders>
          </w:tcPr>
          <w:p>
            <w:pPr>
              <w:spacing w:after="0"/>
              <w:rPr>
                <w:sz w:val="17"/>
                <w:szCs w:val="17"/>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w:t>
            </w:r>
          </w:p>
        </w:tc>
        <w:tc>
          <w:tcPr>
            <w:tcW w:w="22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6"/>
                <w:szCs w:val="16"/>
                <w:color w:val="auto"/>
              </w:rPr>
              <w:t>INTEREST AND INVESTMENT INCOME</w:t>
            </w:r>
          </w:p>
        </w:tc>
        <w:tc>
          <w:tcPr>
            <w:tcW w:w="160" w:type="dxa"/>
            <w:vAlign w:val="bottom"/>
          </w:tcPr>
          <w:p>
            <w:pPr>
              <w:spacing w:after="0"/>
              <w:rPr>
                <w:sz w:val="18"/>
                <w:szCs w:val="18"/>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(717)</w:t>
            </w: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8"/>
                <w:szCs w:val="18"/>
                <w:color w:val="auto"/>
              </w:rPr>
            </w:pPr>
          </w:p>
        </w:tc>
      </w:tr>
      <w:tr>
        <w:trPr>
          <w:trHeight w:val="223"/>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EQUITY IN EARNINGS OF INVESTEE</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w:t>
            </w:r>
          </w:p>
        </w:tc>
      </w:tr>
      <w:tr>
        <w:trPr>
          <w:trHeight w:val="223"/>
        </w:trPr>
        <w:tc>
          <w:tcPr>
            <w:tcW w:w="6480" w:type="dxa"/>
            <w:vAlign w:val="bottom"/>
            <w:tcBorders>
              <w:top w:val="single" w:sz="8" w:color="CCEEFF"/>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1,061</w:t>
            </w:r>
          </w:p>
        </w:tc>
        <w:tc>
          <w:tcPr>
            <w:tcW w:w="200" w:type="dxa"/>
            <w:vAlign w:val="bottom"/>
            <w:tcBorders>
              <w:top w:val="single" w:sz="8" w:color="CCEEFF"/>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1,417</w:t>
            </w:r>
          </w:p>
        </w:tc>
        <w:tc>
          <w:tcPr>
            <w:tcW w:w="220" w:type="dxa"/>
            <w:vAlign w:val="bottom"/>
            <w:tcBorders>
              <w:top w:val="single" w:sz="8" w:color="CCEEFF"/>
              <w:bottom w:val="single" w:sz="8" w:color="CCEEFF"/>
            </w:tcBorders>
          </w:tcPr>
          <w:p>
            <w:pPr>
              <w:spacing w:after="0"/>
              <w:rPr>
                <w:sz w:val="19"/>
                <w:szCs w:val="19"/>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EARNINGS BEFORE INCOME TAXES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43,156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32,404</w:t>
            </w:r>
          </w:p>
        </w:tc>
        <w:tc>
          <w:tcPr>
            <w:tcW w:w="220" w:type="dxa"/>
            <w:vAlign w:val="bottom"/>
            <w:shd w:val="clear" w:color="auto" w:fill="CCEEFF"/>
          </w:tcPr>
          <w:p>
            <w:pPr>
              <w:spacing w:after="0"/>
              <w:rPr>
                <w:sz w:val="18"/>
                <w:szCs w:val="18"/>
                <w:color w:val="auto"/>
              </w:rPr>
            </w:pPr>
          </w:p>
        </w:tc>
      </w:tr>
      <w:tr>
        <w:trPr>
          <w:trHeight w:val="223"/>
        </w:trPr>
        <w:tc>
          <w:tcPr>
            <w:tcW w:w="64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INCOME TAXES</w:t>
            </w:r>
          </w:p>
        </w:tc>
        <w:tc>
          <w:tcPr>
            <w:tcW w:w="1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9,574</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10,770</w:t>
            </w:r>
          </w:p>
        </w:tc>
        <w:tc>
          <w:tcPr>
            <w:tcW w:w="220" w:type="dxa"/>
            <w:vAlign w:val="bottom"/>
            <w:tcBorders>
              <w:bottom w:val="single" w:sz="8" w:color="CCEEFF"/>
            </w:tcBorders>
          </w:tcPr>
          <w:p>
            <w:pPr>
              <w:spacing w:after="0"/>
              <w:rPr>
                <w:sz w:val="19"/>
                <w:szCs w:val="19"/>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NET EARNINGS</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21,634</w:t>
            </w:r>
          </w:p>
        </w:tc>
        <w:tc>
          <w:tcPr>
            <w:tcW w:w="220" w:type="dxa"/>
            <w:vAlign w:val="bottom"/>
            <w:shd w:val="clear" w:color="auto" w:fill="CCEEFF"/>
          </w:tcPr>
          <w:p>
            <w:pPr>
              <w:spacing w:after="0"/>
              <w:rPr>
                <w:sz w:val="18"/>
                <w:szCs w:val="18"/>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6"/>
                <w:szCs w:val="16"/>
                <w:color w:val="auto"/>
              </w:rPr>
              <w:t>LESS NET EARNINGS ATTRIBUTABLE TO NONCONTROLLING INTEREST</w:t>
            </w:r>
          </w:p>
        </w:tc>
        <w:tc>
          <w:tcPr>
            <w:tcW w:w="16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(749)</w:t>
            </w:r>
          </w:p>
        </w:tc>
        <w:tc>
          <w:tcPr>
            <w:tcW w:w="200" w:type="dxa"/>
            <w:vAlign w:val="bottom"/>
          </w:tcPr>
          <w:p>
            <w:pPr>
              <w:spacing w:after="0"/>
              <w:rPr>
                <w:sz w:val="19"/>
                <w:szCs w:val="19"/>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(572)</w:t>
            </w:r>
          </w:p>
        </w:tc>
      </w:tr>
      <w:tr>
        <w:trPr>
          <w:trHeight w:val="223"/>
        </w:trPr>
        <w:tc>
          <w:tcPr>
            <w:tcW w:w="6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EARNINGS ATTRIBUTABLE TO CONTROLLING INTEREST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32,833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16"/>
        </w:trPr>
        <w:tc>
          <w:tcPr>
            <w:tcW w:w="6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EARNINGS PER SHARE - BASIC</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22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6"/>
                <w:szCs w:val="16"/>
                <w:color w:val="auto"/>
              </w:rPr>
              <w:t>EARNINGS PER SHARE -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0.53</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0.34</w:t>
            </w:r>
          </w:p>
        </w:tc>
        <w:tc>
          <w:tcPr>
            <w:tcW w:w="220" w:type="dxa"/>
            <w:vAlign w:val="bottom"/>
          </w:tcPr>
          <w:p>
            <w:pPr>
              <w:spacing w:after="0"/>
              <w:rPr>
                <w:sz w:val="18"/>
                <w:szCs w:val="18"/>
                <w:color w:val="auto"/>
              </w:rPr>
            </w:pPr>
          </w:p>
        </w:tc>
      </w:tr>
      <w:tr>
        <w:trPr>
          <w:trHeight w:val="216"/>
        </w:trPr>
        <w:tc>
          <w:tcPr>
            <w:tcW w:w="6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3"/>
        </w:trPr>
        <w:tc>
          <w:tcPr>
            <w:tcW w:w="6480" w:type="dxa"/>
            <w:vAlign w:val="bottom"/>
          </w:tcPr>
          <w:p>
            <w:pPr>
              <w:spacing w:after="0"/>
              <w:rPr>
                <w:sz w:val="20"/>
                <w:szCs w:val="20"/>
                <w:color w:val="auto"/>
              </w:rPr>
            </w:pPr>
            <w:r>
              <w:rPr>
                <w:rFonts w:ascii="Arial" w:cs="Arial" w:eastAsia="Arial" w:hAnsi="Arial"/>
                <w:sz w:val="16"/>
                <w:szCs w:val="16"/>
                <w:color w:val="auto"/>
              </w:rPr>
              <w:t>OTHER COMPREHENSIVE INCOME:</w:t>
            </w: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9"/>
        </w:trPr>
        <w:tc>
          <w:tcPr>
            <w:tcW w:w="6480" w:type="dxa"/>
            <w:vAlign w:val="bottom"/>
            <w:shd w:val="clear" w:color="auto" w:fill="CCEEFF"/>
          </w:tcPr>
          <w:p>
            <w:pPr>
              <w:spacing w:after="0"/>
              <w:rPr>
                <w:sz w:val="20"/>
                <w:szCs w:val="20"/>
                <w:color w:val="auto"/>
              </w:rPr>
            </w:pPr>
            <w:r>
              <w:rPr>
                <w:rFonts w:ascii="Arial" w:cs="Arial" w:eastAsia="Arial" w:hAnsi="Arial"/>
                <w:sz w:val="16"/>
                <w:szCs w:val="16"/>
                <w:color w:val="auto"/>
              </w:rPr>
              <w:t>NET EARNINGS</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33,582</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21,634</w:t>
            </w:r>
          </w:p>
        </w:tc>
        <w:tc>
          <w:tcPr>
            <w:tcW w:w="220" w:type="dxa"/>
            <w:vAlign w:val="bottom"/>
            <w:shd w:val="clear" w:color="auto" w:fill="CCEEFF"/>
          </w:tcPr>
          <w:p>
            <w:pPr>
              <w:spacing w:after="0"/>
              <w:rPr>
                <w:sz w:val="19"/>
                <w:szCs w:val="19"/>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6"/>
                <w:szCs w:val="16"/>
                <w:color w:val="auto"/>
              </w:rPr>
              <w:t>OTHER COMPREHENSIVE GAIN (LOSS)</w:t>
            </w:r>
          </w:p>
        </w:tc>
        <w:tc>
          <w:tcPr>
            <w:tcW w:w="16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(439)</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3,035</w:t>
            </w:r>
          </w:p>
        </w:tc>
        <w:tc>
          <w:tcPr>
            <w:tcW w:w="220" w:type="dxa"/>
            <w:vAlign w:val="bottom"/>
          </w:tcPr>
          <w:p>
            <w:pPr>
              <w:spacing w:after="0"/>
              <w:rPr>
                <w:sz w:val="19"/>
                <w:szCs w:val="19"/>
                <w:color w:val="auto"/>
              </w:rPr>
            </w:pPr>
          </w:p>
        </w:tc>
      </w:tr>
      <w:tr>
        <w:trPr>
          <w:trHeight w:val="216"/>
        </w:trPr>
        <w:tc>
          <w:tcPr>
            <w:tcW w:w="64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COMPREHENSIVE INCOME</w:t>
            </w:r>
          </w:p>
        </w:tc>
        <w:tc>
          <w:tcPr>
            <w:tcW w:w="1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33,143</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24,669</w:t>
            </w:r>
          </w:p>
        </w:tc>
        <w:tc>
          <w:tcPr>
            <w:tcW w:w="220" w:type="dxa"/>
            <w:vAlign w:val="bottom"/>
            <w:tcBorders>
              <w:top w:val="single" w:sz="8" w:color="CCEEFF"/>
            </w:tcBorders>
            <w:shd w:val="clear" w:color="auto" w:fill="CCEEFF"/>
          </w:tcPr>
          <w:p>
            <w:pPr>
              <w:spacing w:after="0"/>
              <w:rPr>
                <w:sz w:val="18"/>
                <w:szCs w:val="18"/>
                <w:color w:val="auto"/>
              </w:rPr>
            </w:pPr>
          </w:p>
        </w:tc>
      </w:tr>
      <w:tr>
        <w:trPr>
          <w:trHeight w:val="223"/>
        </w:trPr>
        <w:tc>
          <w:tcPr>
            <w:tcW w:w="6480" w:type="dxa"/>
            <w:vAlign w:val="bottom"/>
          </w:tcPr>
          <w:p>
            <w:pPr>
              <w:spacing w:after="0"/>
              <w:rPr>
                <w:sz w:val="20"/>
                <w:szCs w:val="20"/>
                <w:color w:val="auto"/>
              </w:rPr>
            </w:pPr>
            <w:r>
              <w:rPr>
                <w:rFonts w:ascii="Arial" w:cs="Arial" w:eastAsia="Arial" w:hAnsi="Arial"/>
                <w:sz w:val="16"/>
                <w:szCs w:val="16"/>
                <w:color w:val="auto"/>
              </w:rPr>
              <w:t>LESS COMPREHENSIVE INCOME ATTRIBUTABLE TO NONCONTROLLING INTEREST</w:t>
            </w:r>
          </w:p>
        </w:tc>
        <w:tc>
          <w:tcPr>
            <w:tcW w:w="160" w:type="dxa"/>
            <w:vAlign w:val="bottom"/>
          </w:tcPr>
          <w:p>
            <w:pPr>
              <w:spacing w:after="0"/>
              <w:rPr>
                <w:sz w:val="19"/>
                <w:szCs w:val="19"/>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(1,594)</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(1,427)</w:t>
            </w:r>
          </w:p>
        </w:tc>
        <w:tc>
          <w:tcPr>
            <w:tcW w:w="220" w:type="dxa"/>
            <w:vAlign w:val="bottom"/>
          </w:tcPr>
          <w:p>
            <w:pPr>
              <w:spacing w:after="0"/>
              <w:rPr>
                <w:sz w:val="19"/>
                <w:szCs w:val="19"/>
                <w:color w:val="auto"/>
              </w:rPr>
            </w:pPr>
          </w:p>
        </w:tc>
      </w:tr>
      <w:tr>
        <w:trPr>
          <w:trHeight w:val="223"/>
        </w:trPr>
        <w:tc>
          <w:tcPr>
            <w:tcW w:w="64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COMPREHENSIVE INCOME ATTRIBUTABLE TO CONTROLLING INTEREST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31,549</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23,242</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(in thousands, except share and per share data)</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34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980" w:type="dxa"/>
            <w:vAlign w:val="bottom"/>
            <w:tcBorders>
              <w:bottom w:val="single" w:sz="8" w:color="auto"/>
            </w:tcBorders>
            <w:gridSpan w:val="7"/>
          </w:tcPr>
          <w:p>
            <w:pPr>
              <w:jc w:val="right"/>
              <w:spacing w:after="0"/>
              <w:rPr>
                <w:sz w:val="20"/>
                <w:szCs w:val="20"/>
                <w:color w:val="auto"/>
              </w:rPr>
            </w:pPr>
            <w:r>
              <w:rPr>
                <w:rFonts w:ascii="Arial" w:cs="Arial" w:eastAsia="Arial" w:hAnsi="Arial"/>
                <w:sz w:val="11"/>
                <w:szCs w:val="11"/>
                <w:b w:val="1"/>
                <w:bCs w:val="1"/>
                <w:color w:val="auto"/>
                <w:w w:val="89"/>
              </w:rPr>
              <w:t>Controlling Interest Shareholders’ Equity</w:t>
            </w:r>
          </w:p>
        </w:tc>
        <w:tc>
          <w:tcPr>
            <w:tcW w:w="6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r>
      <w:tr>
        <w:trPr>
          <w:trHeight w:val="108"/>
        </w:trPr>
        <w:tc>
          <w:tcPr>
            <w:tcW w:w="3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gridSpan w:val="2"/>
          </w:tcPr>
          <w:p>
            <w:pPr>
              <w:jc w:val="center"/>
              <w:ind w:right="220"/>
              <w:spacing w:after="0" w:line="108" w:lineRule="exact"/>
              <w:rPr>
                <w:sz w:val="20"/>
                <w:szCs w:val="20"/>
                <w:color w:val="auto"/>
              </w:rPr>
            </w:pPr>
            <w:r>
              <w:rPr>
                <w:rFonts w:ascii="Arial" w:cs="Arial" w:eastAsia="Arial" w:hAnsi="Arial"/>
                <w:sz w:val="11"/>
                <w:szCs w:val="11"/>
                <w:b w:val="1"/>
                <w:bCs w:val="1"/>
                <w:color w:val="auto"/>
                <w:w w:val="89"/>
              </w:rPr>
              <w:t>Accumulated</w:t>
            </w: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r>
      <w:tr>
        <w:trPr>
          <w:trHeight w:val="122"/>
        </w:trPr>
        <w:tc>
          <w:tcPr>
            <w:tcW w:w="3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2"/>
          </w:tcPr>
          <w:p>
            <w:pPr>
              <w:jc w:val="right"/>
              <w:ind w:right="220"/>
              <w:spacing w:after="0" w:line="122" w:lineRule="exact"/>
              <w:rPr>
                <w:sz w:val="20"/>
                <w:szCs w:val="20"/>
                <w:color w:val="auto"/>
              </w:rPr>
            </w:pPr>
            <w:r>
              <w:rPr>
                <w:rFonts w:ascii="Arial" w:cs="Arial" w:eastAsia="Arial" w:hAnsi="Arial"/>
                <w:sz w:val="11"/>
                <w:szCs w:val="11"/>
                <w:b w:val="1"/>
                <w:bCs w:val="1"/>
                <w:color w:val="auto"/>
                <w:w w:val="92"/>
              </w:rPr>
              <w:t>Additional</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200"/>
              <w:spacing w:after="0" w:line="122" w:lineRule="exact"/>
              <w:rPr>
                <w:sz w:val="20"/>
                <w:szCs w:val="20"/>
                <w:color w:val="auto"/>
              </w:rPr>
            </w:pPr>
            <w:r>
              <w:rPr>
                <w:rFonts w:ascii="Arial" w:cs="Arial" w:eastAsia="Arial" w:hAnsi="Arial"/>
                <w:sz w:val="11"/>
                <w:szCs w:val="11"/>
                <w:b w:val="1"/>
                <w:bCs w:val="1"/>
                <w:color w:val="auto"/>
                <w:w w:val="95"/>
              </w:rPr>
              <w:t>Other</w:t>
            </w: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22"/>
        </w:trPr>
        <w:tc>
          <w:tcPr>
            <w:tcW w:w="3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80" w:type="dxa"/>
            <w:vAlign w:val="bottom"/>
            <w:gridSpan w:val="2"/>
          </w:tcPr>
          <w:p>
            <w:pPr>
              <w:jc w:val="center"/>
              <w:ind w:right="260"/>
              <w:spacing w:after="0" w:line="122" w:lineRule="exact"/>
              <w:rPr>
                <w:sz w:val="20"/>
                <w:szCs w:val="20"/>
                <w:color w:val="auto"/>
              </w:rPr>
            </w:pPr>
            <w:r>
              <w:rPr>
                <w:rFonts w:ascii="Arial" w:cs="Arial" w:eastAsia="Arial" w:hAnsi="Arial"/>
                <w:sz w:val="11"/>
                <w:szCs w:val="11"/>
                <w:b w:val="1"/>
                <w:bCs w:val="1"/>
                <w:color w:val="auto"/>
                <w:w w:val="92"/>
              </w:rPr>
              <w:t>Common</w:t>
            </w:r>
          </w:p>
        </w:tc>
        <w:tc>
          <w:tcPr>
            <w:tcW w:w="100" w:type="dxa"/>
            <w:vAlign w:val="bottom"/>
          </w:tcPr>
          <w:p>
            <w:pPr>
              <w:spacing w:after="0"/>
              <w:rPr>
                <w:sz w:val="10"/>
                <w:szCs w:val="10"/>
                <w:color w:val="auto"/>
              </w:rPr>
            </w:pPr>
          </w:p>
        </w:tc>
        <w:tc>
          <w:tcPr>
            <w:tcW w:w="740" w:type="dxa"/>
            <w:vAlign w:val="bottom"/>
            <w:gridSpan w:val="2"/>
          </w:tcPr>
          <w:p>
            <w:pPr>
              <w:jc w:val="right"/>
              <w:ind w:right="280"/>
              <w:spacing w:after="0" w:line="122" w:lineRule="exact"/>
              <w:rPr>
                <w:sz w:val="20"/>
                <w:szCs w:val="20"/>
                <w:color w:val="auto"/>
              </w:rPr>
            </w:pPr>
            <w:r>
              <w:rPr>
                <w:rFonts w:ascii="Arial" w:cs="Arial" w:eastAsia="Arial" w:hAnsi="Arial"/>
                <w:sz w:val="11"/>
                <w:szCs w:val="11"/>
                <w:b w:val="1"/>
                <w:bCs w:val="1"/>
                <w:color w:val="auto"/>
              </w:rPr>
              <w:t>Paid-In</w:t>
            </w: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tcPr>
          <w:p>
            <w:pPr>
              <w:jc w:val="right"/>
              <w:ind w:right="320"/>
              <w:spacing w:after="0" w:line="122" w:lineRule="exact"/>
              <w:rPr>
                <w:sz w:val="20"/>
                <w:szCs w:val="20"/>
                <w:color w:val="auto"/>
              </w:rPr>
            </w:pPr>
            <w:r>
              <w:rPr>
                <w:rFonts w:ascii="Arial" w:cs="Arial" w:eastAsia="Arial" w:hAnsi="Arial"/>
                <w:sz w:val="11"/>
                <w:szCs w:val="11"/>
                <w:b w:val="1"/>
                <w:bCs w:val="1"/>
                <w:color w:val="auto"/>
                <w:w w:val="98"/>
              </w:rPr>
              <w:t>Retained</w:t>
            </w:r>
          </w:p>
        </w:tc>
        <w:tc>
          <w:tcPr>
            <w:tcW w:w="920" w:type="dxa"/>
            <w:vAlign w:val="bottom"/>
            <w:gridSpan w:val="3"/>
          </w:tcPr>
          <w:p>
            <w:pPr>
              <w:jc w:val="center"/>
              <w:ind w:right="120"/>
              <w:spacing w:after="0" w:line="122" w:lineRule="exact"/>
              <w:rPr>
                <w:sz w:val="20"/>
                <w:szCs w:val="20"/>
                <w:color w:val="auto"/>
              </w:rPr>
            </w:pPr>
            <w:r>
              <w:rPr>
                <w:rFonts w:ascii="Arial" w:cs="Arial" w:eastAsia="Arial" w:hAnsi="Arial"/>
                <w:sz w:val="11"/>
                <w:szCs w:val="11"/>
                <w:b w:val="1"/>
                <w:bCs w:val="1"/>
                <w:color w:val="auto"/>
                <w:w w:val="87"/>
              </w:rPr>
              <w:t>Comprehensive</w:t>
            </w:r>
          </w:p>
        </w:tc>
        <w:tc>
          <w:tcPr>
            <w:tcW w:w="920" w:type="dxa"/>
            <w:vAlign w:val="bottom"/>
            <w:gridSpan w:val="3"/>
          </w:tcPr>
          <w:p>
            <w:pPr>
              <w:jc w:val="center"/>
              <w:ind w:right="140"/>
              <w:spacing w:after="0" w:line="122" w:lineRule="exact"/>
              <w:rPr>
                <w:sz w:val="20"/>
                <w:szCs w:val="20"/>
                <w:color w:val="auto"/>
              </w:rPr>
            </w:pPr>
            <w:r>
              <w:rPr>
                <w:rFonts w:ascii="Arial" w:cs="Arial" w:eastAsia="Arial" w:hAnsi="Arial"/>
                <w:sz w:val="11"/>
                <w:szCs w:val="11"/>
                <w:b w:val="1"/>
                <w:bCs w:val="1"/>
                <w:color w:val="auto"/>
                <w:w w:val="89"/>
              </w:rPr>
              <w:t>Noncontrolling</w:t>
            </w:r>
          </w:p>
        </w:tc>
        <w:tc>
          <w:tcPr>
            <w:tcW w:w="24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142"/>
        </w:trPr>
        <w:tc>
          <w:tcPr>
            <w:tcW w:w="3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86"/>
              </w:rPr>
              <w:t>Stock</w:t>
            </w:r>
          </w:p>
        </w:tc>
        <w:tc>
          <w:tcPr>
            <w:tcW w:w="100" w:type="dxa"/>
            <w:vAlign w:val="bottom"/>
          </w:tcPr>
          <w:p>
            <w:pPr>
              <w:spacing w:after="0"/>
              <w:rPr>
                <w:sz w:val="12"/>
                <w:szCs w:val="12"/>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1"/>
                <w:szCs w:val="11"/>
                <w:b w:val="1"/>
                <w:bCs w:val="1"/>
                <w:color w:val="auto"/>
              </w:rPr>
              <w:t>Capital</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1"/>
                <w:szCs w:val="11"/>
                <w:b w:val="1"/>
                <w:bCs w:val="1"/>
                <w:color w:val="auto"/>
                <w:w w:val="97"/>
              </w:rPr>
              <w:t>Earnings</w:t>
            </w:r>
          </w:p>
        </w:tc>
        <w:tc>
          <w:tcPr>
            <w:tcW w:w="80" w:type="dxa"/>
            <w:vAlign w:val="bottom"/>
          </w:tcPr>
          <w:p>
            <w:pPr>
              <w:spacing w:after="0"/>
              <w:rPr>
                <w:sz w:val="12"/>
                <w:szCs w:val="12"/>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1"/>
                <w:szCs w:val="11"/>
                <w:b w:val="1"/>
                <w:bCs w:val="1"/>
                <w:color w:val="auto"/>
                <w:w w:val="89"/>
              </w:rPr>
              <w:t>Earnings</w:t>
            </w:r>
          </w:p>
        </w:tc>
        <w:tc>
          <w:tcPr>
            <w:tcW w:w="160" w:type="dxa"/>
            <w:vAlign w:val="bottom"/>
          </w:tcPr>
          <w:p>
            <w:pPr>
              <w:spacing w:after="0"/>
              <w:rPr>
                <w:sz w:val="12"/>
                <w:szCs w:val="12"/>
                <w:color w:val="auto"/>
              </w:rPr>
            </w:pPr>
          </w:p>
        </w:tc>
        <w:tc>
          <w:tcPr>
            <w:tcW w:w="760" w:type="dxa"/>
            <w:vAlign w:val="bottom"/>
            <w:gridSpan w:val="2"/>
          </w:tcPr>
          <w:p>
            <w:pPr>
              <w:jc w:val="center"/>
              <w:ind w:right="280"/>
              <w:spacing w:after="0"/>
              <w:rPr>
                <w:sz w:val="20"/>
                <w:szCs w:val="20"/>
                <w:color w:val="auto"/>
              </w:rPr>
            </w:pPr>
            <w:r>
              <w:rPr>
                <w:rFonts w:ascii="Arial" w:cs="Arial" w:eastAsia="Arial" w:hAnsi="Arial"/>
                <w:sz w:val="11"/>
                <w:szCs w:val="11"/>
                <w:b w:val="1"/>
                <w:bCs w:val="1"/>
                <w:color w:val="auto"/>
                <w:w w:val="90"/>
              </w:rPr>
              <w:t>Interest</w:t>
            </w:r>
          </w:p>
        </w:tc>
        <w:tc>
          <w:tcPr>
            <w:tcW w:w="240" w:type="dxa"/>
            <w:vAlign w:val="bottom"/>
          </w:tcPr>
          <w:p>
            <w:pPr>
              <w:spacing w:after="0"/>
              <w:rPr>
                <w:sz w:val="12"/>
                <w:szCs w:val="12"/>
                <w:color w:val="auto"/>
              </w:rPr>
            </w:pPr>
          </w:p>
        </w:tc>
        <w:tc>
          <w:tcPr>
            <w:tcW w:w="800" w:type="dxa"/>
            <w:vAlign w:val="bottom"/>
          </w:tcPr>
          <w:p>
            <w:pPr>
              <w:jc w:val="right"/>
              <w:ind w:right="337"/>
              <w:spacing w:after="0"/>
              <w:rPr>
                <w:sz w:val="20"/>
                <w:szCs w:val="20"/>
                <w:color w:val="auto"/>
              </w:rPr>
            </w:pPr>
            <w:r>
              <w:rPr>
                <w:rFonts w:ascii="Arial" w:cs="Arial" w:eastAsia="Arial" w:hAnsi="Arial"/>
                <w:sz w:val="11"/>
                <w:szCs w:val="11"/>
                <w:b w:val="1"/>
                <w:bCs w:val="1"/>
                <w:color w:val="auto"/>
              </w:rPr>
              <w:t>Total</w:t>
            </w:r>
          </w:p>
        </w:tc>
      </w:tr>
      <w:tr>
        <w:trPr>
          <w:trHeight w:val="135"/>
        </w:trPr>
        <w:tc>
          <w:tcPr>
            <w:tcW w:w="3460" w:type="dxa"/>
            <w:vAlign w:val="bottom"/>
            <w:tcBorders>
              <w:top w:val="single" w:sz="8" w:color="CCEEFF"/>
            </w:tcBorders>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at December 31, 2016</w:t>
            </w:r>
          </w:p>
        </w:tc>
        <w:tc>
          <w:tcPr>
            <w:tcW w:w="12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61,026</w:t>
            </w:r>
          </w:p>
        </w:tc>
        <w:tc>
          <w:tcPr>
            <w:tcW w:w="1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6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144,649</w:t>
            </w: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66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649,135</w:t>
            </w:r>
          </w:p>
        </w:tc>
        <w:tc>
          <w:tcPr>
            <w:tcW w:w="14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w w:val="82"/>
              </w:rPr>
              <w:t>$</w:t>
            </w:r>
          </w:p>
        </w:tc>
        <w:tc>
          <w:tcPr>
            <w:tcW w:w="7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(5,630)</w:t>
            </w:r>
          </w:p>
        </w:tc>
        <w:tc>
          <w:tcPr>
            <w:tcW w:w="14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auto"/>
            </w:tcBorders>
            <w:shd w:val="clear" w:color="auto" w:fill="CCEEFF"/>
          </w:tcPr>
          <w:p>
            <w:pPr>
              <w:jc w:val="right"/>
              <w:ind w:right="51"/>
              <w:spacing w:after="0"/>
              <w:rPr>
                <w:sz w:val="20"/>
                <w:szCs w:val="20"/>
                <w:color w:val="auto"/>
              </w:rPr>
            </w:pPr>
            <w:r>
              <w:rPr>
                <w:rFonts w:ascii="Arial" w:cs="Arial" w:eastAsia="Arial" w:hAnsi="Arial"/>
                <w:sz w:val="9"/>
                <w:szCs w:val="9"/>
                <w:b w:val="1"/>
                <w:bCs w:val="1"/>
                <w:color w:val="auto"/>
                <w:w w:val="78"/>
              </w:rPr>
              <w:t>$</w:t>
            </w:r>
          </w:p>
        </w:tc>
        <w:tc>
          <w:tcPr>
            <w:tcW w:w="62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11,286</w:t>
            </w:r>
          </w:p>
        </w:tc>
        <w:tc>
          <w:tcPr>
            <w:tcW w:w="140" w:type="dxa"/>
            <w:vAlign w:val="bottom"/>
            <w:tcBorders>
              <w:top w:val="single" w:sz="8" w:color="CCEEFF"/>
            </w:tcBorders>
            <w:shd w:val="clear" w:color="auto" w:fill="CCEEFF"/>
          </w:tcPr>
          <w:p>
            <w:pPr>
              <w:spacing w:after="0"/>
              <w:rPr>
                <w:sz w:val="11"/>
                <w:szCs w:val="11"/>
                <w:color w:val="auto"/>
              </w:rPr>
            </w:pPr>
          </w:p>
        </w:tc>
        <w:tc>
          <w:tcPr>
            <w:tcW w:w="240" w:type="dxa"/>
            <w:vAlign w:val="bottom"/>
            <w:tcBorders>
              <w:top w:val="single" w:sz="8" w:color="auto"/>
            </w:tcBorders>
            <w:shd w:val="clear" w:color="auto" w:fill="CCEEFF"/>
          </w:tcPr>
          <w:p>
            <w:pPr>
              <w:jc w:val="right"/>
              <w:ind w:right="133"/>
              <w:spacing w:after="0"/>
              <w:rPr>
                <w:sz w:val="20"/>
                <w:szCs w:val="20"/>
                <w:color w:val="auto"/>
              </w:rPr>
            </w:pPr>
            <w:r>
              <w:rPr>
                <w:rFonts w:ascii="Arial" w:cs="Arial" w:eastAsia="Arial" w:hAnsi="Arial"/>
                <w:sz w:val="9"/>
                <w:szCs w:val="9"/>
                <w:b w:val="1"/>
                <w:bCs w:val="1"/>
                <w:color w:val="auto"/>
                <w:w w:val="78"/>
              </w:rPr>
              <w:t>$</w:t>
            </w:r>
          </w:p>
        </w:tc>
        <w:tc>
          <w:tcPr>
            <w:tcW w:w="800" w:type="dxa"/>
            <w:vAlign w:val="bottom"/>
            <w:tcBorders>
              <w:top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860,466</w:t>
            </w: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Net earnings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21,062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572</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21,634</w:t>
            </w: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Foreign currency translation adjustment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1,971</w:t>
            </w: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855</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2,826</w:t>
            </w: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Unrealized gain (loss) on investment &amp; foreign currency</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jc w:val="right"/>
              <w:spacing w:after="0" w:line="135" w:lineRule="exact"/>
              <w:rPr>
                <w:sz w:val="20"/>
                <w:szCs w:val="20"/>
                <w:color w:val="auto"/>
              </w:rPr>
            </w:pPr>
            <w:r>
              <w:rPr>
                <w:rFonts w:ascii="Arial" w:cs="Arial" w:eastAsia="Arial" w:hAnsi="Arial"/>
                <w:sz w:val="13"/>
                <w:szCs w:val="13"/>
                <w:color w:val="auto"/>
              </w:rPr>
              <w:t>209</w:t>
            </w: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209</w:t>
            </w: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Distributions to noncontrolling interest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(1,673)</w:t>
            </w: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(1,673)</w:t>
            </w: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Additional purchases of noncontrolling interest</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1,774</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1,774</w:t>
            </w: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Issuance of 5,214 shares under employee stock plans</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142</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147</w:t>
            </w: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Issuance of 407,328 shares under stock grant programs</w:t>
            </w: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408</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6,836</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7,244</w:t>
            </w: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3"/>
              </w:rPr>
              <w:t>Issuance of 118,038 shares under deferred compensation plans</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(118)</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Repurchase of 2,640 shares</w:t>
            </w: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(82)</w:t>
            </w: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(85)</w:t>
            </w: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8"/>
              </w:rPr>
              <w:t>Expense associated with share-based compensation arrangements</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571</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571</w:t>
            </w:r>
          </w:p>
        </w:tc>
      </w:tr>
      <w:tr>
        <w:trPr>
          <w:trHeight w:val="142"/>
        </w:trPr>
        <w:tc>
          <w:tcPr>
            <w:tcW w:w="346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Accrued expense under deferred compensation plans</w:t>
            </w: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4,240</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4,240</w:t>
            </w:r>
          </w:p>
        </w:tc>
      </w:tr>
      <w:tr>
        <w:trPr>
          <w:trHeight w:val="155"/>
        </w:trPr>
        <w:tc>
          <w:tcPr>
            <w:tcW w:w="346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at April 1, 2017</w:t>
            </w:r>
          </w:p>
        </w:tc>
        <w:tc>
          <w:tcPr>
            <w:tcW w:w="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61,554</w:t>
            </w:r>
          </w:p>
        </w:tc>
        <w:tc>
          <w:tcPr>
            <w:tcW w:w="1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156,320</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670,115</w:t>
            </w:r>
          </w:p>
        </w:tc>
        <w:tc>
          <w:tcPr>
            <w:tcW w:w="14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w w:val="82"/>
              </w:rPr>
              <w:t>$</w:t>
            </w: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(3,450)</w:t>
            </w:r>
          </w:p>
        </w:tc>
        <w:tc>
          <w:tcPr>
            <w:tcW w:w="14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9"/>
                <w:szCs w:val="9"/>
                <w:b w:val="1"/>
                <w:bCs w:val="1"/>
                <w:color w:val="auto"/>
                <w:w w:val="78"/>
              </w:rPr>
              <w:t>$</w:t>
            </w: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12,814</w:t>
            </w:r>
          </w:p>
        </w:tc>
        <w:tc>
          <w:tcPr>
            <w:tcW w:w="1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9"/>
                <w:szCs w:val="9"/>
                <w:b w:val="1"/>
                <w:bCs w:val="1"/>
                <w:color w:val="auto"/>
                <w:w w:val="78"/>
              </w:rPr>
              <w:t>$</w:t>
            </w: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897,353</w:t>
            </w:r>
          </w:p>
        </w:tc>
      </w:tr>
      <w:tr>
        <w:trPr>
          <w:trHeight w:val="122"/>
        </w:trPr>
        <w:tc>
          <w:tcPr>
            <w:tcW w:w="3460" w:type="dxa"/>
            <w:vAlign w:val="bottom"/>
          </w:tcPr>
          <w:p>
            <w:pPr>
              <w:spacing w:after="0" w:line="122" w:lineRule="exact"/>
              <w:rPr>
                <w:sz w:val="20"/>
                <w:szCs w:val="20"/>
                <w:color w:val="auto"/>
              </w:rPr>
            </w:pPr>
            <w:r>
              <w:rPr>
                <w:rFonts w:ascii="Arial" w:cs="Arial" w:eastAsia="Arial" w:hAnsi="Arial"/>
                <w:sz w:val="13"/>
                <w:szCs w:val="13"/>
                <w:b w:val="1"/>
                <w:bCs w:val="1"/>
                <w:color w:val="auto"/>
              </w:rPr>
              <w:t>Balance at December 30, 2017</w:t>
            </w:r>
          </w:p>
        </w:tc>
        <w:tc>
          <w:tcPr>
            <w:tcW w:w="120" w:type="dxa"/>
            <w:vAlign w:val="bottom"/>
          </w:tcPr>
          <w:p>
            <w:pPr>
              <w:spacing w:after="0"/>
              <w:rPr>
                <w:sz w:val="10"/>
                <w:szCs w:val="10"/>
                <w:color w:val="auto"/>
              </w:rPr>
            </w:pPr>
          </w:p>
        </w:tc>
        <w:tc>
          <w:tcPr>
            <w:tcW w:w="64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61,192</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161,928</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736,212</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144</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14,547</w:t>
            </w: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974,023</w:t>
            </w: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Net earnings</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32,833</w:t>
            </w: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749</w:t>
            </w: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33,582</w:t>
            </w: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Foreign currency translation adjustment</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(785)</w:t>
            </w:r>
          </w:p>
        </w:tc>
        <w:tc>
          <w:tcPr>
            <w:tcW w:w="160" w:type="dxa"/>
            <w:vAlign w:val="bottom"/>
          </w:tcPr>
          <w:p>
            <w:pPr>
              <w:spacing w:after="0"/>
              <w:rPr>
                <w:sz w:val="11"/>
                <w:szCs w:val="11"/>
                <w:color w:val="auto"/>
              </w:rPr>
            </w:pPr>
          </w:p>
        </w:tc>
        <w:tc>
          <w:tcPr>
            <w:tcW w:w="620" w:type="dxa"/>
            <w:vAlign w:val="bottom"/>
          </w:tcPr>
          <w:p>
            <w:pPr>
              <w:jc w:val="right"/>
              <w:spacing w:after="0" w:line="135" w:lineRule="exact"/>
              <w:rPr>
                <w:sz w:val="20"/>
                <w:szCs w:val="20"/>
                <w:color w:val="auto"/>
              </w:rPr>
            </w:pPr>
            <w:r>
              <w:rPr>
                <w:rFonts w:ascii="Arial" w:cs="Arial" w:eastAsia="Arial" w:hAnsi="Arial"/>
                <w:sz w:val="13"/>
                <w:szCs w:val="13"/>
                <w:color w:val="auto"/>
              </w:rPr>
              <w:t>845</w:t>
            </w: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60</w:t>
            </w: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Unrealized gain (loss) on investment &amp; foreign currency</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4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3"/>
                <w:szCs w:val="13"/>
                <w:color w:val="auto"/>
              </w:rPr>
              <w:t>(499)</w:t>
            </w: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(499)</w:t>
            </w: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Distributions to noncontrolling interest</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(775)</w:t>
            </w:r>
          </w:p>
        </w:tc>
        <w:tc>
          <w:tcPr>
            <w:tcW w:w="2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(775)</w:t>
            </w: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Additional purchases of noncontrolling interest</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Net purchase and dissolution of noncontrolling interest</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60" w:type="dxa"/>
            <w:vAlign w:val="bottom"/>
            <w:gridSpan w:val="2"/>
          </w:tcPr>
          <w:p>
            <w:pPr>
              <w:jc w:val="right"/>
              <w:ind w:right="180"/>
              <w:spacing w:after="0" w:line="135" w:lineRule="exact"/>
              <w:rPr>
                <w:sz w:val="20"/>
                <w:szCs w:val="20"/>
                <w:color w:val="auto"/>
              </w:rPr>
            </w:pPr>
            <w:r>
              <w:rPr>
                <w:rFonts w:ascii="Arial" w:cs="Arial" w:eastAsia="Arial" w:hAnsi="Arial"/>
                <w:sz w:val="13"/>
                <w:szCs w:val="13"/>
                <w:color w:val="auto"/>
              </w:rPr>
              <w:t>—</w:t>
            </w:r>
          </w:p>
        </w:tc>
        <w:tc>
          <w:tcPr>
            <w:tcW w:w="2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rPr>
              <w:t>Issuance of 7,469 shares under employee stock plans</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199</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207</w:t>
            </w: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Issuance of 253,289 shares under stock grant programs</w:t>
            </w:r>
          </w:p>
        </w:tc>
        <w:tc>
          <w:tcPr>
            <w:tcW w:w="12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253</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5,292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5,545</w:t>
            </w: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93"/>
              </w:rPr>
              <w:t>Issuance of 117,068 shares under deferred compensation plans</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117</w:t>
            </w: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gridSpan w:val="2"/>
            <w:shd w:val="clear" w:color="auto" w:fill="CCEEFF"/>
          </w:tcPr>
          <w:p>
            <w:pPr>
              <w:jc w:val="right"/>
              <w:ind w:right="80"/>
              <w:spacing w:after="0" w:line="135" w:lineRule="exact"/>
              <w:rPr>
                <w:sz w:val="20"/>
                <w:szCs w:val="20"/>
                <w:color w:val="auto"/>
              </w:rPr>
            </w:pPr>
            <w:r>
              <w:rPr>
                <w:rFonts w:ascii="Arial" w:cs="Arial" w:eastAsia="Arial" w:hAnsi="Arial"/>
                <w:sz w:val="13"/>
                <w:szCs w:val="13"/>
                <w:color w:val="auto"/>
              </w:rPr>
              <w:t>(117)</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w:t>
            </w:r>
          </w:p>
        </w:tc>
      </w:tr>
      <w:tr>
        <w:trPr>
          <w:trHeight w:val="135"/>
        </w:trPr>
        <w:tc>
          <w:tcPr>
            <w:tcW w:w="3460" w:type="dxa"/>
            <w:vAlign w:val="bottom"/>
          </w:tcPr>
          <w:p>
            <w:pPr>
              <w:spacing w:after="0" w:line="135" w:lineRule="exact"/>
              <w:rPr>
                <w:sz w:val="20"/>
                <w:szCs w:val="20"/>
                <w:color w:val="auto"/>
              </w:rPr>
            </w:pPr>
            <w:r>
              <w:rPr>
                <w:rFonts w:ascii="Arial" w:cs="Arial" w:eastAsia="Arial" w:hAnsi="Arial"/>
                <w:sz w:val="13"/>
                <w:szCs w:val="13"/>
                <w:color w:val="auto"/>
              </w:rPr>
              <w:t>Repurchase of 25,812 shares</w:t>
            </w:r>
          </w:p>
        </w:tc>
        <w:tc>
          <w:tcPr>
            <w:tcW w:w="12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3"/>
                <w:szCs w:val="13"/>
                <w:color w:val="auto"/>
              </w:rPr>
              <w:t>(26)</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3"/>
                <w:szCs w:val="13"/>
                <w:color w:val="auto"/>
              </w:rPr>
              <w:t>(822)</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jc w:val="right"/>
              <w:spacing w:after="0" w:line="135" w:lineRule="exact"/>
              <w:rPr>
                <w:sz w:val="20"/>
                <w:szCs w:val="20"/>
                <w:color w:val="auto"/>
              </w:rPr>
            </w:pPr>
            <w:r>
              <w:rPr>
                <w:rFonts w:ascii="Arial" w:cs="Arial" w:eastAsia="Arial" w:hAnsi="Arial"/>
                <w:sz w:val="13"/>
                <w:szCs w:val="13"/>
                <w:color w:val="auto"/>
              </w:rPr>
              <w:t>(848)</w:t>
            </w:r>
          </w:p>
        </w:tc>
      </w:tr>
      <w:tr>
        <w:trPr>
          <w:trHeight w:val="135"/>
        </w:trPr>
        <w:tc>
          <w:tcPr>
            <w:tcW w:w="3460" w:type="dxa"/>
            <w:vAlign w:val="bottom"/>
            <w:shd w:val="clear" w:color="auto" w:fill="CCEEFF"/>
          </w:tcPr>
          <w:p>
            <w:pPr>
              <w:spacing w:after="0" w:line="135" w:lineRule="exact"/>
              <w:rPr>
                <w:sz w:val="20"/>
                <w:szCs w:val="20"/>
                <w:color w:val="auto"/>
              </w:rPr>
            </w:pPr>
            <w:r>
              <w:rPr>
                <w:rFonts w:ascii="Arial" w:cs="Arial" w:eastAsia="Arial" w:hAnsi="Arial"/>
                <w:sz w:val="13"/>
                <w:szCs w:val="13"/>
                <w:color w:val="auto"/>
                <w:w w:val="88"/>
              </w:rPr>
              <w:t>Expense associated with share-based compensation arrangements</w:t>
            </w: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1,034</w:t>
            </w: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1,034</w:t>
            </w:r>
          </w:p>
        </w:tc>
      </w:tr>
      <w:tr>
        <w:trPr>
          <w:trHeight w:val="142"/>
        </w:trPr>
        <w:tc>
          <w:tcPr>
            <w:tcW w:w="3460" w:type="dxa"/>
            <w:vAlign w:val="bottom"/>
            <w:tcBorders>
              <w:bottom w:val="single" w:sz="8" w:color="CCEEFF"/>
            </w:tcBorders>
          </w:tcPr>
          <w:p>
            <w:pPr>
              <w:spacing w:after="0" w:line="135" w:lineRule="exact"/>
              <w:rPr>
                <w:sz w:val="20"/>
                <w:szCs w:val="20"/>
                <w:color w:val="auto"/>
              </w:rPr>
            </w:pPr>
            <w:r>
              <w:rPr>
                <w:rFonts w:ascii="Arial" w:cs="Arial" w:eastAsia="Arial" w:hAnsi="Arial"/>
                <w:sz w:val="13"/>
                <w:szCs w:val="13"/>
                <w:color w:val="auto"/>
              </w:rPr>
              <w:t>Accrued expense under deferred compensation plans</w:t>
            </w: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4,593</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4,593</w:t>
            </w:r>
          </w:p>
        </w:tc>
      </w:tr>
      <w:tr>
        <w:trPr>
          <w:trHeight w:val="142"/>
        </w:trPr>
        <w:tc>
          <w:tcPr>
            <w:tcW w:w="3460" w:type="dxa"/>
            <w:vAlign w:val="bottom"/>
            <w:tcBorders>
              <w:bottom w:val="single" w:sz="8" w:color="CCEEFF"/>
            </w:tcBorders>
            <w:shd w:val="clear" w:color="auto" w:fill="CCEEFF"/>
          </w:tcPr>
          <w:p>
            <w:pPr>
              <w:spacing w:after="0" w:line="135" w:lineRule="exact"/>
              <w:rPr>
                <w:sz w:val="20"/>
                <w:szCs w:val="20"/>
                <w:color w:val="auto"/>
              </w:rPr>
            </w:pPr>
            <w:r>
              <w:rPr>
                <w:rFonts w:ascii="Arial" w:cs="Arial" w:eastAsia="Arial" w:hAnsi="Arial"/>
                <w:sz w:val="13"/>
                <w:szCs w:val="13"/>
                <w:b w:val="1"/>
                <w:bCs w:val="1"/>
                <w:color w:val="auto"/>
              </w:rPr>
              <w:t>Balance at March 31, 2018</w:t>
            </w:r>
          </w:p>
        </w:tc>
        <w:tc>
          <w:tcPr>
            <w:tcW w:w="12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9"/>
                <w:szCs w:val="9"/>
                <w:b w:val="1"/>
                <w:bCs w:val="1"/>
                <w:color w:val="auto"/>
                <w:w w:val="78"/>
              </w:rPr>
              <w:t>$</w:t>
            </w:r>
          </w:p>
        </w:tc>
        <w:tc>
          <w:tcPr>
            <w:tcW w:w="64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61,544</w:t>
            </w:r>
          </w:p>
        </w:tc>
        <w:tc>
          <w:tcPr>
            <w:tcW w:w="1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172,929</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9"/>
                <w:szCs w:val="9"/>
                <w:b w:val="1"/>
                <w:bCs w:val="1"/>
                <w:color w:val="auto"/>
                <w:w w:val="78"/>
              </w:rPr>
              <w:t>$</w:t>
            </w:r>
          </w:p>
        </w:tc>
        <w:tc>
          <w:tcPr>
            <w:tcW w:w="6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768,223</w:t>
            </w:r>
          </w:p>
        </w:tc>
        <w:tc>
          <w:tcPr>
            <w:tcW w:w="14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w w:val="82"/>
              </w:rPr>
              <w:t>$</w:t>
            </w:r>
          </w:p>
        </w:tc>
        <w:tc>
          <w:tcPr>
            <w:tcW w:w="7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(1,140)</w:t>
            </w:r>
          </w:p>
        </w:tc>
        <w:tc>
          <w:tcPr>
            <w:tcW w:w="140" w:type="dxa"/>
            <w:vAlign w:val="bottom"/>
            <w:tcBorders>
              <w:bottom w:val="single" w:sz="8" w:color="CCEEFF"/>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ind w:right="51"/>
              <w:spacing w:after="0"/>
              <w:rPr>
                <w:sz w:val="20"/>
                <w:szCs w:val="20"/>
                <w:color w:val="auto"/>
              </w:rPr>
            </w:pPr>
            <w:r>
              <w:rPr>
                <w:rFonts w:ascii="Arial" w:cs="Arial" w:eastAsia="Arial" w:hAnsi="Arial"/>
                <w:sz w:val="9"/>
                <w:szCs w:val="9"/>
                <w:b w:val="1"/>
                <w:bCs w:val="1"/>
                <w:color w:val="auto"/>
                <w:w w:val="78"/>
              </w:rPr>
              <w:t>$</w:t>
            </w:r>
          </w:p>
        </w:tc>
        <w:tc>
          <w:tcPr>
            <w:tcW w:w="62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15,366</w:t>
            </w:r>
          </w:p>
        </w:tc>
        <w:tc>
          <w:tcPr>
            <w:tcW w:w="1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33"/>
              <w:spacing w:after="0"/>
              <w:rPr>
                <w:sz w:val="20"/>
                <w:szCs w:val="20"/>
                <w:color w:val="auto"/>
              </w:rPr>
            </w:pPr>
            <w:r>
              <w:rPr>
                <w:rFonts w:ascii="Arial" w:cs="Arial" w:eastAsia="Arial" w:hAnsi="Arial"/>
                <w:sz w:val="9"/>
                <w:szCs w:val="9"/>
                <w:b w:val="1"/>
                <w:bCs w:val="1"/>
                <w:color w:val="auto"/>
                <w:w w:val="78"/>
              </w:rPr>
              <w:t>$</w:t>
            </w:r>
          </w:p>
        </w:tc>
        <w:tc>
          <w:tcPr>
            <w:tcW w:w="80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b w:val="1"/>
                <w:bCs w:val="1"/>
                <w:color w:val="auto"/>
              </w:rPr>
              <w:t>1,016,922</w:t>
            </w: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notes to consolidated condensed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CONSOLIDATED CONDENSED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1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20" w:type="dxa"/>
            <w:vAlign w:val="bottom"/>
            <w:gridSpan w:val="5"/>
          </w:tcPr>
          <w:p>
            <w:pPr>
              <w:jc w:val="right"/>
              <w:ind w:right="740"/>
              <w:spacing w:after="0"/>
              <w:rPr>
                <w:sz w:val="20"/>
                <w:szCs w:val="20"/>
                <w:color w:val="auto"/>
              </w:rPr>
            </w:pPr>
            <w:r>
              <w:rPr>
                <w:rFonts w:ascii="Arial" w:cs="Arial" w:eastAsia="Arial" w:hAnsi="Arial"/>
                <w:sz w:val="14"/>
                <w:szCs w:val="14"/>
                <w:b w:val="1"/>
                <w:bCs w:val="1"/>
                <w:color w:val="auto"/>
              </w:rPr>
              <w:t>Three Months Ended</w:t>
            </w:r>
          </w:p>
        </w:tc>
      </w:tr>
      <w:tr>
        <w:trPr>
          <w:trHeight w:val="126"/>
        </w:trPr>
        <w:tc>
          <w:tcPr>
            <w:tcW w:w="61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right"/>
              <w:ind w:right="340"/>
              <w:spacing w:after="0" w:line="126" w:lineRule="exact"/>
              <w:rPr>
                <w:sz w:val="20"/>
                <w:szCs w:val="20"/>
                <w:color w:val="auto"/>
              </w:rPr>
            </w:pPr>
            <w:r>
              <w:rPr>
                <w:rFonts w:ascii="Arial" w:cs="Arial" w:eastAsia="Arial" w:hAnsi="Arial"/>
                <w:sz w:val="14"/>
                <w:szCs w:val="14"/>
                <w:b w:val="1"/>
                <w:bCs w:val="1"/>
                <w:color w:val="auto"/>
              </w:rPr>
              <w:t>March 31,</w:t>
            </w:r>
          </w:p>
        </w:tc>
        <w:tc>
          <w:tcPr>
            <w:tcW w:w="1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jc w:val="right"/>
              <w:ind w:right="148"/>
              <w:spacing w:after="0" w:line="126" w:lineRule="exact"/>
              <w:rPr>
                <w:sz w:val="20"/>
                <w:szCs w:val="20"/>
                <w:color w:val="auto"/>
              </w:rPr>
            </w:pPr>
            <w:r>
              <w:rPr>
                <w:rFonts w:ascii="Arial" w:cs="Arial" w:eastAsia="Arial" w:hAnsi="Arial"/>
                <w:sz w:val="14"/>
                <w:szCs w:val="14"/>
                <w:b w:val="1"/>
                <w:bCs w:val="1"/>
                <w:color w:val="auto"/>
              </w:rPr>
              <w:t>April 1,</w:t>
            </w:r>
          </w:p>
        </w:tc>
        <w:tc>
          <w:tcPr>
            <w:tcW w:w="360" w:type="dxa"/>
            <w:vAlign w:val="bottom"/>
          </w:tcPr>
          <w:p>
            <w:pPr>
              <w:spacing w:after="0"/>
              <w:rPr>
                <w:sz w:val="10"/>
                <w:szCs w:val="10"/>
                <w:color w:val="auto"/>
              </w:rPr>
            </w:pPr>
          </w:p>
        </w:tc>
      </w:tr>
      <w:tr>
        <w:trPr>
          <w:trHeight w:val="178"/>
        </w:trPr>
        <w:tc>
          <w:tcPr>
            <w:tcW w:w="6120" w:type="dxa"/>
            <w:vAlign w:val="bottom"/>
            <w:tcBorders>
              <w:bottom w:val="single" w:sz="8" w:color="CCEEFF"/>
            </w:tcBorders>
          </w:tcPr>
          <w:p>
            <w:pPr>
              <w:spacing w:after="0"/>
              <w:rPr>
                <w:sz w:val="15"/>
                <w:szCs w:val="15"/>
                <w:color w:val="auto"/>
              </w:rPr>
            </w:pPr>
          </w:p>
        </w:tc>
        <w:tc>
          <w:tcPr>
            <w:tcW w:w="5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2018</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CCEEFF"/>
            </w:tcBorders>
          </w:tcPr>
          <w:p>
            <w:pPr>
              <w:spacing w:after="0"/>
              <w:rPr>
                <w:sz w:val="15"/>
                <w:szCs w:val="15"/>
                <w:color w:val="auto"/>
              </w:rPr>
            </w:pPr>
          </w:p>
        </w:tc>
      </w:tr>
      <w:tr>
        <w:trPr>
          <w:trHeight w:val="149"/>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FLOWS FROM OPERATING ACTIVITIES:</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r>
      <w:tr>
        <w:trPr>
          <w:trHeight w:val="149"/>
        </w:trPr>
        <w:tc>
          <w:tcPr>
            <w:tcW w:w="6120" w:type="dxa"/>
            <w:vAlign w:val="bottom"/>
          </w:tcPr>
          <w:p>
            <w:pPr>
              <w:spacing w:after="0" w:line="149" w:lineRule="exact"/>
              <w:rPr>
                <w:sz w:val="20"/>
                <w:szCs w:val="20"/>
                <w:color w:val="auto"/>
              </w:rPr>
            </w:pPr>
            <w:r>
              <w:rPr>
                <w:rFonts w:ascii="Arial" w:cs="Arial" w:eastAsia="Arial" w:hAnsi="Arial"/>
                <w:sz w:val="14"/>
                <w:szCs w:val="14"/>
                <w:color w:val="auto"/>
              </w:rPr>
              <w:t>Net earnings</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33,582</w:t>
            </w:r>
          </w:p>
        </w:tc>
        <w:tc>
          <w:tcPr>
            <w:tcW w:w="20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21,634</w:t>
            </w:r>
          </w:p>
        </w:tc>
        <w:tc>
          <w:tcPr>
            <w:tcW w:w="360" w:type="dxa"/>
            <w:vAlign w:val="bottom"/>
          </w:tcPr>
          <w:p>
            <w:pPr>
              <w:spacing w:after="0"/>
              <w:rPr>
                <w:sz w:val="12"/>
                <w:szCs w:val="12"/>
                <w:color w:val="auto"/>
              </w:rPr>
            </w:pPr>
          </w:p>
        </w:tc>
      </w:tr>
      <w:tr>
        <w:trPr>
          <w:trHeight w:val="149"/>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earnings to net cash from operating activities:</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r>
      <w:tr>
        <w:trPr>
          <w:trHeight w:val="149"/>
        </w:trPr>
        <w:tc>
          <w:tcPr>
            <w:tcW w:w="6120" w:type="dxa"/>
            <w:vAlign w:val="bottom"/>
          </w:tcPr>
          <w:p>
            <w:pPr>
              <w:ind w:left="120"/>
              <w:spacing w:after="0" w:line="149" w:lineRule="exact"/>
              <w:rPr>
                <w:sz w:val="20"/>
                <w:szCs w:val="20"/>
                <w:color w:val="auto"/>
              </w:rPr>
            </w:pPr>
            <w:r>
              <w:rPr>
                <w:rFonts w:ascii="Arial" w:cs="Arial" w:eastAsia="Arial" w:hAnsi="Arial"/>
                <w:sz w:val="14"/>
                <w:szCs w:val="14"/>
                <w:color w:val="auto"/>
              </w:rPr>
              <w:t>Depreciation</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12,712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11,392</w:t>
            </w:r>
          </w:p>
        </w:tc>
        <w:tc>
          <w:tcPr>
            <w:tcW w:w="360" w:type="dxa"/>
            <w:vAlign w:val="bottom"/>
          </w:tcPr>
          <w:p>
            <w:pPr>
              <w:spacing w:after="0"/>
              <w:rPr>
                <w:sz w:val="12"/>
                <w:szCs w:val="12"/>
                <w:color w:val="auto"/>
              </w:rPr>
            </w:pPr>
          </w:p>
        </w:tc>
      </w:tr>
      <w:tr>
        <w:trPr>
          <w:trHeight w:val="149"/>
        </w:trPr>
        <w:tc>
          <w:tcPr>
            <w:tcW w:w="6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Amortization of intangibles</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1,228</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1,119</w:t>
            </w:r>
          </w:p>
        </w:tc>
        <w:tc>
          <w:tcPr>
            <w:tcW w:w="360" w:type="dxa"/>
            <w:vAlign w:val="bottom"/>
            <w:shd w:val="clear" w:color="auto" w:fill="CCEEFF"/>
          </w:tcPr>
          <w:p>
            <w:pPr>
              <w:spacing w:after="0"/>
              <w:rPr>
                <w:sz w:val="12"/>
                <w:szCs w:val="12"/>
                <w:color w:val="auto"/>
              </w:rPr>
            </w:pPr>
          </w:p>
        </w:tc>
      </w:tr>
      <w:tr>
        <w:trPr>
          <w:trHeight w:val="149"/>
        </w:trPr>
        <w:tc>
          <w:tcPr>
            <w:tcW w:w="6120" w:type="dxa"/>
            <w:vAlign w:val="bottom"/>
          </w:tcPr>
          <w:p>
            <w:pPr>
              <w:ind w:left="120"/>
              <w:spacing w:after="0" w:line="149" w:lineRule="exact"/>
              <w:rPr>
                <w:sz w:val="20"/>
                <w:szCs w:val="20"/>
                <w:color w:val="auto"/>
              </w:rPr>
            </w:pPr>
            <w:r>
              <w:rPr>
                <w:rFonts w:ascii="Arial" w:cs="Arial" w:eastAsia="Arial" w:hAnsi="Arial"/>
                <w:sz w:val="14"/>
                <w:szCs w:val="14"/>
                <w:color w:val="auto"/>
              </w:rPr>
              <w:t>Expense associated with share-based and grant compensation arrangements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1,094</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617</w:t>
            </w:r>
          </w:p>
        </w:tc>
        <w:tc>
          <w:tcPr>
            <w:tcW w:w="360" w:type="dxa"/>
            <w:vAlign w:val="bottom"/>
          </w:tcPr>
          <w:p>
            <w:pPr>
              <w:spacing w:after="0"/>
              <w:rPr>
                <w:sz w:val="12"/>
                <w:szCs w:val="12"/>
                <w:color w:val="auto"/>
              </w:rPr>
            </w:pPr>
          </w:p>
        </w:tc>
      </w:tr>
      <w:tr>
        <w:trPr>
          <w:trHeight w:val="149"/>
        </w:trPr>
        <w:tc>
          <w:tcPr>
            <w:tcW w:w="6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Deferred income taxes (credits)</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(519)</w:t>
            </w: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w:t>
            </w:r>
          </w:p>
        </w:tc>
        <w:tc>
          <w:tcPr>
            <w:tcW w:w="360" w:type="dxa"/>
            <w:vAlign w:val="bottom"/>
            <w:shd w:val="clear" w:color="auto" w:fill="CCEEFF"/>
          </w:tcPr>
          <w:p>
            <w:pPr>
              <w:spacing w:after="0"/>
              <w:rPr>
                <w:sz w:val="12"/>
                <w:szCs w:val="12"/>
                <w:color w:val="auto"/>
              </w:rPr>
            </w:pPr>
          </w:p>
        </w:tc>
      </w:tr>
      <w:tr>
        <w:trPr>
          <w:trHeight w:val="149"/>
        </w:trPr>
        <w:tc>
          <w:tcPr>
            <w:tcW w:w="6120" w:type="dxa"/>
            <w:vAlign w:val="bottom"/>
          </w:tcPr>
          <w:p>
            <w:pPr>
              <w:ind w:left="120"/>
              <w:spacing w:after="0" w:line="149" w:lineRule="exact"/>
              <w:rPr>
                <w:sz w:val="20"/>
                <w:szCs w:val="20"/>
                <w:color w:val="auto"/>
              </w:rPr>
            </w:pPr>
            <w:r>
              <w:rPr>
                <w:rFonts w:ascii="Arial" w:cs="Arial" w:eastAsia="Arial" w:hAnsi="Arial"/>
                <w:sz w:val="14"/>
                <w:szCs w:val="14"/>
                <w:color w:val="auto"/>
              </w:rPr>
              <w:t>Equity in earnings of investee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11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w:t>
            </w:r>
          </w:p>
        </w:tc>
      </w:tr>
      <w:tr>
        <w:trPr>
          <w:trHeight w:val="149"/>
        </w:trPr>
        <w:tc>
          <w:tcPr>
            <w:tcW w:w="6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Net gain on disposition of assets</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(6,534)</w:t>
            </w: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(64)</w:t>
            </w:r>
          </w:p>
        </w:tc>
      </w:tr>
      <w:tr>
        <w:trPr>
          <w:trHeight w:val="149"/>
        </w:trPr>
        <w:tc>
          <w:tcPr>
            <w:tcW w:w="6120" w:type="dxa"/>
            <w:vAlign w:val="bottom"/>
          </w:tcPr>
          <w:p>
            <w:pPr>
              <w:ind w:left="120"/>
              <w:spacing w:after="0" w:line="149" w:lineRule="exact"/>
              <w:rPr>
                <w:sz w:val="20"/>
                <w:szCs w:val="20"/>
                <w:color w:val="auto"/>
              </w:rPr>
            </w:pPr>
            <w:r>
              <w:rPr>
                <w:rFonts w:ascii="Arial" w:cs="Arial" w:eastAsia="Arial" w:hAnsi="Arial"/>
                <w:sz w:val="14"/>
                <w:szCs w:val="14"/>
                <w:color w:val="auto"/>
              </w:rPr>
              <w:t>Changes in:</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49"/>
        </w:trPr>
        <w:tc>
          <w:tcPr>
            <w:tcW w:w="61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Accounts receivable</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(99,765)</w:t>
            </w: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(67,766)</w:t>
            </w:r>
          </w:p>
        </w:tc>
      </w:tr>
      <w:tr>
        <w:trPr>
          <w:trHeight w:val="149"/>
        </w:trPr>
        <w:tc>
          <w:tcPr>
            <w:tcW w:w="6120" w:type="dxa"/>
            <w:vAlign w:val="bottom"/>
          </w:tcPr>
          <w:p>
            <w:pPr>
              <w:ind w:left="320"/>
              <w:spacing w:after="0" w:line="149" w:lineRule="exact"/>
              <w:rPr>
                <w:sz w:val="20"/>
                <w:szCs w:val="20"/>
                <w:color w:val="auto"/>
              </w:rPr>
            </w:pPr>
            <w:r>
              <w:rPr>
                <w:rFonts w:ascii="Arial" w:cs="Arial" w:eastAsia="Arial" w:hAnsi="Arial"/>
                <w:sz w:val="14"/>
                <w:szCs w:val="14"/>
                <w:color w:val="auto"/>
              </w:rPr>
              <w:t>Inventories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(57,403)</w:t>
            </w:r>
          </w:p>
        </w:tc>
        <w:tc>
          <w:tcPr>
            <w:tcW w:w="160" w:type="dxa"/>
            <w:vAlign w:val="bottom"/>
          </w:tcPr>
          <w:p>
            <w:pPr>
              <w:spacing w:after="0"/>
              <w:rPr>
                <w:sz w:val="12"/>
                <w:szCs w:val="12"/>
                <w:color w:val="auto"/>
              </w:rPr>
            </w:pPr>
          </w:p>
        </w:tc>
        <w:tc>
          <w:tcPr>
            <w:tcW w:w="11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(60,984)</w:t>
            </w:r>
          </w:p>
        </w:tc>
      </w:tr>
      <w:tr>
        <w:trPr>
          <w:trHeight w:val="149"/>
        </w:trPr>
        <w:tc>
          <w:tcPr>
            <w:tcW w:w="612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Accounts payable and cash overdraft</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39,935</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32,769</w:t>
            </w:r>
          </w:p>
        </w:tc>
        <w:tc>
          <w:tcPr>
            <w:tcW w:w="360" w:type="dxa"/>
            <w:vAlign w:val="bottom"/>
            <w:shd w:val="clear" w:color="auto" w:fill="CCEEFF"/>
          </w:tcPr>
          <w:p>
            <w:pPr>
              <w:spacing w:after="0"/>
              <w:rPr>
                <w:sz w:val="12"/>
                <w:szCs w:val="12"/>
                <w:color w:val="auto"/>
              </w:rPr>
            </w:pPr>
          </w:p>
        </w:tc>
      </w:tr>
      <w:tr>
        <w:trPr>
          <w:trHeight w:val="156"/>
        </w:trPr>
        <w:tc>
          <w:tcPr>
            <w:tcW w:w="6120" w:type="dxa"/>
            <w:vAlign w:val="bottom"/>
          </w:tcPr>
          <w:p>
            <w:pPr>
              <w:ind w:left="320"/>
              <w:spacing w:after="0" w:line="149" w:lineRule="exact"/>
              <w:rPr>
                <w:sz w:val="20"/>
                <w:szCs w:val="20"/>
                <w:color w:val="auto"/>
              </w:rPr>
            </w:pPr>
            <w:r>
              <w:rPr>
                <w:rFonts w:ascii="Arial" w:cs="Arial" w:eastAsia="Arial" w:hAnsi="Arial"/>
                <w:sz w:val="14"/>
                <w:szCs w:val="14"/>
                <w:color w:val="auto"/>
              </w:rPr>
              <w:t>Accrued liabilities and other</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(8,502)</w:t>
            </w:r>
          </w:p>
        </w:tc>
        <w:tc>
          <w:tcPr>
            <w:tcW w:w="160" w:type="dxa"/>
            <w:vAlign w:val="bottom"/>
          </w:tcPr>
          <w:p>
            <w:pPr>
              <w:spacing w:after="0"/>
              <w:rPr>
                <w:sz w:val="13"/>
                <w:szCs w:val="13"/>
                <w:color w:val="auto"/>
              </w:rPr>
            </w:pPr>
          </w:p>
        </w:tc>
        <w:tc>
          <w:tcPr>
            <w:tcW w:w="11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(9,676)</w:t>
            </w:r>
          </w:p>
        </w:tc>
      </w:tr>
      <w:tr>
        <w:trPr>
          <w:trHeight w:val="149"/>
        </w:trPr>
        <w:tc>
          <w:tcPr>
            <w:tcW w:w="6120" w:type="dxa"/>
            <w:vAlign w:val="bottom"/>
            <w:tcBorders>
              <w:top w:val="single" w:sz="8" w:color="CCEEFF"/>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NET CASH USED IN OPERATING ACTIVITIES</w:t>
            </w:r>
          </w:p>
        </w:tc>
        <w:tc>
          <w:tcPr>
            <w:tcW w:w="5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(84,172)</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(70,740)</w:t>
            </w:r>
          </w:p>
        </w:tc>
        <w:tc>
          <w:tcPr>
            <w:tcW w:w="360" w:type="dxa"/>
            <w:vAlign w:val="bottom"/>
            <w:tcBorders>
              <w:top w:val="single" w:sz="8" w:color="CCEEFF"/>
            </w:tcBorders>
            <w:shd w:val="clear" w:color="auto" w:fill="CCEEFF"/>
          </w:tcPr>
          <w:p>
            <w:pPr>
              <w:spacing w:after="0"/>
              <w:rPr>
                <w:sz w:val="12"/>
                <w:szCs w:val="12"/>
                <w:color w:val="auto"/>
              </w:rPr>
            </w:pPr>
          </w:p>
        </w:tc>
      </w:tr>
      <w:tr>
        <w:trPr>
          <w:trHeight w:val="149"/>
        </w:trPr>
        <w:tc>
          <w:tcPr>
            <w:tcW w:w="6120" w:type="dxa"/>
            <w:vAlign w:val="bottom"/>
          </w:tcPr>
          <w:p>
            <w:pPr>
              <w:spacing w:after="0" w:line="149" w:lineRule="exact"/>
              <w:rPr>
                <w:sz w:val="20"/>
                <w:szCs w:val="20"/>
                <w:color w:val="auto"/>
              </w:rPr>
            </w:pPr>
            <w:r>
              <w:rPr>
                <w:rFonts w:ascii="Arial" w:cs="Arial" w:eastAsia="Arial" w:hAnsi="Arial"/>
                <w:sz w:val="14"/>
                <w:szCs w:val="14"/>
                <w:color w:val="auto"/>
              </w:rPr>
              <w:t>CASH FLOWS FROM INVESTING ACTIVITIES: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49"/>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property, plant and equipment</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(24,362)</w:t>
            </w: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(16,531)</w:t>
            </w:r>
          </w:p>
        </w:tc>
      </w:tr>
      <w:tr>
        <w:trPr>
          <w:trHeight w:val="149"/>
        </w:trPr>
        <w:tc>
          <w:tcPr>
            <w:tcW w:w="6120" w:type="dxa"/>
            <w:vAlign w:val="bottom"/>
          </w:tcPr>
          <w:p>
            <w:pPr>
              <w:spacing w:after="0" w:line="149" w:lineRule="exact"/>
              <w:rPr>
                <w:sz w:val="20"/>
                <w:szCs w:val="20"/>
                <w:color w:val="auto"/>
              </w:rPr>
            </w:pPr>
            <w:r>
              <w:rPr>
                <w:rFonts w:ascii="Arial" w:cs="Arial" w:eastAsia="Arial" w:hAnsi="Arial"/>
                <w:sz w:val="14"/>
                <w:szCs w:val="14"/>
                <w:color w:val="auto"/>
              </w:rPr>
              <w:t>Proceeds from sale of property, plant and equipment</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36,250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353</w:t>
            </w:r>
          </w:p>
        </w:tc>
        <w:tc>
          <w:tcPr>
            <w:tcW w:w="360" w:type="dxa"/>
            <w:vAlign w:val="bottom"/>
          </w:tcPr>
          <w:p>
            <w:pPr>
              <w:spacing w:after="0"/>
              <w:rPr>
                <w:sz w:val="12"/>
                <w:szCs w:val="12"/>
                <w:color w:val="auto"/>
              </w:rPr>
            </w:pPr>
          </w:p>
        </w:tc>
      </w:tr>
      <w:tr>
        <w:trPr>
          <w:trHeight w:val="149"/>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Acquisitions, net of cash received</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(8,787)</w:t>
            </w: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(55,441)</w:t>
            </w:r>
          </w:p>
        </w:tc>
      </w:tr>
      <w:tr>
        <w:trPr>
          <w:trHeight w:val="149"/>
        </w:trPr>
        <w:tc>
          <w:tcPr>
            <w:tcW w:w="6120" w:type="dxa"/>
            <w:vAlign w:val="bottom"/>
          </w:tcPr>
          <w:p>
            <w:pPr>
              <w:spacing w:after="0" w:line="149" w:lineRule="exact"/>
              <w:rPr>
                <w:sz w:val="20"/>
                <w:szCs w:val="20"/>
                <w:color w:val="auto"/>
              </w:rPr>
            </w:pPr>
            <w:r>
              <w:rPr>
                <w:rFonts w:ascii="Arial" w:cs="Arial" w:eastAsia="Arial" w:hAnsi="Arial"/>
                <w:sz w:val="14"/>
                <w:szCs w:val="14"/>
                <w:color w:val="auto"/>
              </w:rPr>
              <w:t>Advances of notes receivable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(12)</w:t>
            </w:r>
          </w:p>
        </w:tc>
        <w:tc>
          <w:tcPr>
            <w:tcW w:w="160" w:type="dxa"/>
            <w:vAlign w:val="bottom"/>
          </w:tcPr>
          <w:p>
            <w:pPr>
              <w:spacing w:after="0"/>
              <w:rPr>
                <w:sz w:val="12"/>
                <w:szCs w:val="12"/>
                <w:color w:val="auto"/>
              </w:rPr>
            </w:pPr>
          </w:p>
        </w:tc>
        <w:tc>
          <w:tcPr>
            <w:tcW w:w="11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(228)</w:t>
            </w:r>
          </w:p>
        </w:tc>
      </w:tr>
      <w:tr>
        <w:trPr>
          <w:trHeight w:val="149"/>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Collections on notes receivable</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482</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721</w:t>
            </w:r>
          </w:p>
        </w:tc>
        <w:tc>
          <w:tcPr>
            <w:tcW w:w="360" w:type="dxa"/>
            <w:vAlign w:val="bottom"/>
            <w:shd w:val="clear" w:color="auto" w:fill="CCEEFF"/>
          </w:tcPr>
          <w:p>
            <w:pPr>
              <w:spacing w:after="0"/>
              <w:rPr>
                <w:sz w:val="12"/>
                <w:szCs w:val="12"/>
                <w:color w:val="auto"/>
              </w:rPr>
            </w:pPr>
          </w:p>
        </w:tc>
      </w:tr>
      <w:tr>
        <w:trPr>
          <w:trHeight w:val="149"/>
        </w:trPr>
        <w:tc>
          <w:tcPr>
            <w:tcW w:w="6120" w:type="dxa"/>
            <w:vAlign w:val="bottom"/>
          </w:tcPr>
          <w:p>
            <w:pPr>
              <w:spacing w:after="0" w:line="149" w:lineRule="exact"/>
              <w:rPr>
                <w:sz w:val="20"/>
                <w:szCs w:val="20"/>
                <w:color w:val="auto"/>
              </w:rPr>
            </w:pPr>
            <w:r>
              <w:rPr>
                <w:rFonts w:ascii="Arial" w:cs="Arial" w:eastAsia="Arial" w:hAnsi="Arial"/>
                <w:sz w:val="14"/>
                <w:szCs w:val="14"/>
                <w:color w:val="auto"/>
              </w:rPr>
              <w:t>Purchases of investments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(6,718)</w:t>
            </w:r>
          </w:p>
        </w:tc>
        <w:tc>
          <w:tcPr>
            <w:tcW w:w="160" w:type="dxa"/>
            <w:vAlign w:val="bottom"/>
          </w:tcPr>
          <w:p>
            <w:pPr>
              <w:spacing w:after="0"/>
              <w:rPr>
                <w:sz w:val="12"/>
                <w:szCs w:val="12"/>
                <w:color w:val="auto"/>
              </w:rPr>
            </w:pPr>
          </w:p>
        </w:tc>
        <w:tc>
          <w:tcPr>
            <w:tcW w:w="11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(819)</w:t>
            </w:r>
          </w:p>
        </w:tc>
      </w:tr>
      <w:tr>
        <w:trPr>
          <w:trHeight w:val="149"/>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sale of investments</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5,045</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1,204</w:t>
            </w:r>
          </w:p>
        </w:tc>
        <w:tc>
          <w:tcPr>
            <w:tcW w:w="360" w:type="dxa"/>
            <w:vAlign w:val="bottom"/>
            <w:shd w:val="clear" w:color="auto" w:fill="CCEEFF"/>
          </w:tcPr>
          <w:p>
            <w:pPr>
              <w:spacing w:after="0"/>
              <w:rPr>
                <w:sz w:val="12"/>
                <w:szCs w:val="12"/>
                <w:color w:val="auto"/>
              </w:rPr>
            </w:pPr>
          </w:p>
        </w:tc>
      </w:tr>
      <w:tr>
        <w:trPr>
          <w:trHeight w:val="156"/>
        </w:trPr>
        <w:tc>
          <w:tcPr>
            <w:tcW w:w="612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(594)</w:t>
            </w:r>
          </w:p>
        </w:tc>
        <w:tc>
          <w:tcPr>
            <w:tcW w:w="160" w:type="dxa"/>
            <w:vAlign w:val="bottom"/>
          </w:tcPr>
          <w:p>
            <w:pPr>
              <w:spacing w:after="0"/>
              <w:rPr>
                <w:sz w:val="13"/>
                <w:szCs w:val="13"/>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142</w:t>
            </w:r>
          </w:p>
        </w:tc>
        <w:tc>
          <w:tcPr>
            <w:tcW w:w="360" w:type="dxa"/>
            <w:vAlign w:val="bottom"/>
          </w:tcPr>
          <w:p>
            <w:pPr>
              <w:spacing w:after="0"/>
              <w:rPr>
                <w:sz w:val="13"/>
                <w:szCs w:val="13"/>
                <w:color w:val="auto"/>
              </w:rPr>
            </w:pPr>
          </w:p>
        </w:tc>
      </w:tr>
      <w:tr>
        <w:trPr>
          <w:trHeight w:val="149"/>
        </w:trPr>
        <w:tc>
          <w:tcPr>
            <w:tcW w:w="6120" w:type="dxa"/>
            <w:vAlign w:val="bottom"/>
            <w:tcBorders>
              <w:top w:val="single" w:sz="8" w:color="CCEEFF"/>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NET CASH FROM (USED IN) INVESTING ACTIVITIES</w:t>
            </w:r>
          </w:p>
        </w:tc>
        <w:tc>
          <w:tcPr>
            <w:tcW w:w="5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1,304</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(70,599)</w:t>
            </w:r>
          </w:p>
        </w:tc>
        <w:tc>
          <w:tcPr>
            <w:tcW w:w="360" w:type="dxa"/>
            <w:vAlign w:val="bottom"/>
            <w:tcBorders>
              <w:top w:val="single" w:sz="8" w:color="CCEEFF"/>
            </w:tcBorders>
            <w:shd w:val="clear" w:color="auto" w:fill="CCEEFF"/>
          </w:tcPr>
          <w:p>
            <w:pPr>
              <w:spacing w:after="0"/>
              <w:rPr>
                <w:sz w:val="12"/>
                <w:szCs w:val="12"/>
                <w:color w:val="auto"/>
              </w:rPr>
            </w:pPr>
          </w:p>
        </w:tc>
      </w:tr>
      <w:tr>
        <w:trPr>
          <w:trHeight w:val="149"/>
        </w:trPr>
        <w:tc>
          <w:tcPr>
            <w:tcW w:w="6120" w:type="dxa"/>
            <w:vAlign w:val="bottom"/>
          </w:tcPr>
          <w:p>
            <w:pPr>
              <w:spacing w:after="0" w:line="149" w:lineRule="exact"/>
              <w:rPr>
                <w:sz w:val="20"/>
                <w:szCs w:val="20"/>
                <w:color w:val="auto"/>
              </w:rPr>
            </w:pPr>
            <w:r>
              <w:rPr>
                <w:rFonts w:ascii="Arial" w:cs="Arial" w:eastAsia="Arial" w:hAnsi="Arial"/>
                <w:sz w:val="14"/>
                <w:szCs w:val="14"/>
                <w:color w:val="auto"/>
              </w:rPr>
              <w:t>CASH FLOWS FROM FINANCING ACTIVITIES: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49"/>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Borrowings under revolving credit facilities</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296,342</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281,090</w:t>
            </w:r>
          </w:p>
        </w:tc>
        <w:tc>
          <w:tcPr>
            <w:tcW w:w="360" w:type="dxa"/>
            <w:vAlign w:val="bottom"/>
            <w:shd w:val="clear" w:color="auto" w:fill="CCEEFF"/>
          </w:tcPr>
          <w:p>
            <w:pPr>
              <w:spacing w:after="0"/>
              <w:rPr>
                <w:sz w:val="12"/>
                <w:szCs w:val="12"/>
                <w:color w:val="auto"/>
              </w:rPr>
            </w:pPr>
          </w:p>
        </w:tc>
      </w:tr>
      <w:tr>
        <w:trPr>
          <w:trHeight w:val="149"/>
        </w:trPr>
        <w:tc>
          <w:tcPr>
            <w:tcW w:w="6120" w:type="dxa"/>
            <w:vAlign w:val="bottom"/>
          </w:tcPr>
          <w:p>
            <w:pPr>
              <w:spacing w:after="0" w:line="149" w:lineRule="exact"/>
              <w:rPr>
                <w:sz w:val="20"/>
                <w:szCs w:val="20"/>
                <w:color w:val="auto"/>
              </w:rPr>
            </w:pPr>
            <w:r>
              <w:rPr>
                <w:rFonts w:ascii="Arial" w:cs="Arial" w:eastAsia="Arial" w:hAnsi="Arial"/>
                <w:sz w:val="14"/>
                <w:szCs w:val="14"/>
                <w:color w:val="auto"/>
              </w:rPr>
              <w:t>Repayments under revolving credit facilities</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(179,429)</w:t>
            </w:r>
          </w:p>
        </w:tc>
        <w:tc>
          <w:tcPr>
            <w:tcW w:w="160" w:type="dxa"/>
            <w:vAlign w:val="bottom"/>
          </w:tcPr>
          <w:p>
            <w:pPr>
              <w:spacing w:after="0"/>
              <w:rPr>
                <w:sz w:val="12"/>
                <w:szCs w:val="12"/>
                <w:color w:val="auto"/>
              </w:rPr>
            </w:pPr>
          </w:p>
        </w:tc>
        <w:tc>
          <w:tcPr>
            <w:tcW w:w="11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(137,767)</w:t>
            </w:r>
          </w:p>
        </w:tc>
      </w:tr>
      <w:tr>
        <w:trPr>
          <w:trHeight w:val="149"/>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Borrowings of debt</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1,376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w:t>
            </w:r>
          </w:p>
        </w:tc>
      </w:tr>
      <w:tr>
        <w:trPr>
          <w:trHeight w:val="149"/>
        </w:trPr>
        <w:tc>
          <w:tcPr>
            <w:tcW w:w="6120" w:type="dxa"/>
            <w:vAlign w:val="bottom"/>
          </w:tcPr>
          <w:p>
            <w:pPr>
              <w:spacing w:after="0" w:line="149" w:lineRule="exact"/>
              <w:rPr>
                <w:sz w:val="20"/>
                <w:szCs w:val="20"/>
                <w:color w:val="auto"/>
              </w:rPr>
            </w:pPr>
            <w:r>
              <w:rPr>
                <w:rFonts w:ascii="Arial" w:cs="Arial" w:eastAsia="Arial" w:hAnsi="Arial"/>
                <w:sz w:val="14"/>
                <w:szCs w:val="14"/>
                <w:color w:val="auto"/>
              </w:rPr>
              <w:t>Repayment of debt</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(5,232)</w:t>
            </w:r>
          </w:p>
        </w:tc>
        <w:tc>
          <w:tcPr>
            <w:tcW w:w="160" w:type="dxa"/>
            <w:vAlign w:val="bottom"/>
          </w:tcPr>
          <w:p>
            <w:pPr>
              <w:spacing w:after="0"/>
              <w:rPr>
                <w:sz w:val="12"/>
                <w:szCs w:val="12"/>
                <w:color w:val="auto"/>
              </w:rPr>
            </w:pP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w:t>
            </w:r>
          </w:p>
        </w:tc>
      </w:tr>
      <w:tr>
        <w:trPr>
          <w:trHeight w:val="149"/>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issuance of common stock</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206</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w:t>
            </w:r>
          </w:p>
        </w:tc>
        <w:tc>
          <w:tcPr>
            <w:tcW w:w="360" w:type="dxa"/>
            <w:vAlign w:val="bottom"/>
            <w:shd w:val="clear" w:color="auto" w:fill="CCEEFF"/>
          </w:tcPr>
          <w:p>
            <w:pPr>
              <w:spacing w:after="0"/>
              <w:rPr>
                <w:sz w:val="12"/>
                <w:szCs w:val="12"/>
                <w:color w:val="auto"/>
              </w:rPr>
            </w:pPr>
          </w:p>
        </w:tc>
      </w:tr>
      <w:tr>
        <w:trPr>
          <w:trHeight w:val="149"/>
        </w:trPr>
        <w:tc>
          <w:tcPr>
            <w:tcW w:w="6120" w:type="dxa"/>
            <w:vAlign w:val="bottom"/>
          </w:tcPr>
          <w:p>
            <w:pPr>
              <w:spacing w:after="0" w:line="149" w:lineRule="exact"/>
              <w:rPr>
                <w:sz w:val="20"/>
                <w:szCs w:val="20"/>
                <w:color w:val="auto"/>
              </w:rPr>
            </w:pPr>
            <w:r>
              <w:rPr>
                <w:rFonts w:ascii="Arial" w:cs="Arial" w:eastAsia="Arial" w:hAnsi="Arial"/>
                <w:sz w:val="14"/>
                <w:szCs w:val="14"/>
                <w:color w:val="auto"/>
              </w:rPr>
              <w:t>Distributions to noncontrolling interest</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(775)</w:t>
            </w:r>
          </w:p>
        </w:tc>
        <w:tc>
          <w:tcPr>
            <w:tcW w:w="160" w:type="dxa"/>
            <w:vAlign w:val="bottom"/>
          </w:tcPr>
          <w:p>
            <w:pPr>
              <w:spacing w:after="0"/>
              <w:rPr>
                <w:sz w:val="12"/>
                <w:szCs w:val="12"/>
                <w:color w:val="auto"/>
              </w:rPr>
            </w:pPr>
          </w:p>
        </w:tc>
        <w:tc>
          <w:tcPr>
            <w:tcW w:w="11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(1,673)</w:t>
            </w:r>
          </w:p>
        </w:tc>
      </w:tr>
      <w:tr>
        <w:trPr>
          <w:trHeight w:val="149"/>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common stock</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(848)</w:t>
            </w:r>
          </w:p>
        </w:tc>
        <w:tc>
          <w:tcPr>
            <w:tcW w:w="16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(83)</w:t>
            </w:r>
          </w:p>
        </w:tc>
      </w:tr>
      <w:tr>
        <w:trPr>
          <w:trHeight w:val="156"/>
        </w:trPr>
        <w:tc>
          <w:tcPr>
            <w:tcW w:w="612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(70)</w:t>
            </w:r>
          </w:p>
        </w:tc>
        <w:tc>
          <w:tcPr>
            <w:tcW w:w="160" w:type="dxa"/>
            <w:vAlign w:val="bottom"/>
          </w:tcPr>
          <w:p>
            <w:pPr>
              <w:spacing w:after="0"/>
              <w:rPr>
                <w:sz w:val="13"/>
                <w:szCs w:val="13"/>
                <w:color w:val="auto"/>
              </w:rPr>
            </w:pPr>
          </w:p>
        </w:tc>
        <w:tc>
          <w:tcPr>
            <w:tcW w:w="114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(16)</w:t>
            </w:r>
          </w:p>
        </w:tc>
      </w:tr>
      <w:tr>
        <w:trPr>
          <w:trHeight w:val="149"/>
        </w:trPr>
        <w:tc>
          <w:tcPr>
            <w:tcW w:w="6120" w:type="dxa"/>
            <w:vAlign w:val="bottom"/>
            <w:tcBorders>
              <w:top w:val="single" w:sz="8" w:color="CCEEFF"/>
            </w:tcBorders>
            <w:shd w:val="clear" w:color="auto" w:fill="CCEEFF"/>
          </w:tcPr>
          <w:p>
            <w:pPr>
              <w:ind w:left="120"/>
              <w:spacing w:after="0" w:line="149" w:lineRule="exact"/>
              <w:rPr>
                <w:sz w:val="20"/>
                <w:szCs w:val="20"/>
                <w:color w:val="auto"/>
              </w:rPr>
            </w:pPr>
            <w:r>
              <w:rPr>
                <w:rFonts w:ascii="Arial" w:cs="Arial" w:eastAsia="Arial" w:hAnsi="Arial"/>
                <w:sz w:val="14"/>
                <w:szCs w:val="14"/>
                <w:color w:val="auto"/>
              </w:rPr>
              <w:t>NET CASH FROM FINANCING ACTIVITIES</w:t>
            </w:r>
          </w:p>
        </w:tc>
        <w:tc>
          <w:tcPr>
            <w:tcW w:w="5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111,570</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141,697</w:t>
            </w:r>
          </w:p>
        </w:tc>
        <w:tc>
          <w:tcPr>
            <w:tcW w:w="360" w:type="dxa"/>
            <w:vAlign w:val="bottom"/>
            <w:tcBorders>
              <w:top w:val="single" w:sz="8" w:color="CCEEFF"/>
            </w:tcBorders>
            <w:shd w:val="clear" w:color="auto" w:fill="CCEEFF"/>
          </w:tcPr>
          <w:p>
            <w:pPr>
              <w:spacing w:after="0"/>
              <w:rPr>
                <w:sz w:val="12"/>
                <w:szCs w:val="12"/>
                <w:color w:val="auto"/>
              </w:rPr>
            </w:pPr>
          </w:p>
        </w:tc>
      </w:tr>
      <w:tr>
        <w:trPr>
          <w:trHeight w:val="156"/>
        </w:trPr>
        <w:tc>
          <w:tcPr>
            <w:tcW w:w="61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Effect of exchange rate changes on cash</w:t>
            </w:r>
          </w:p>
        </w:tc>
        <w:tc>
          <w:tcPr>
            <w:tcW w:w="5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233</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882</w:t>
            </w:r>
          </w:p>
        </w:tc>
        <w:tc>
          <w:tcPr>
            <w:tcW w:w="360" w:type="dxa"/>
            <w:vAlign w:val="bottom"/>
            <w:tcBorders>
              <w:bottom w:val="single" w:sz="8" w:color="CCEEFF"/>
            </w:tcBorders>
          </w:tcPr>
          <w:p>
            <w:pPr>
              <w:spacing w:after="0"/>
              <w:rPr>
                <w:sz w:val="13"/>
                <w:szCs w:val="13"/>
                <w:color w:val="auto"/>
              </w:rPr>
            </w:pPr>
          </w:p>
        </w:tc>
      </w:tr>
      <w:tr>
        <w:trPr>
          <w:trHeight w:val="149"/>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CHANGE IN CASH AND CASH EQUIVALENTS</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28,935</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1,240</w:t>
            </w:r>
          </w:p>
        </w:tc>
        <w:tc>
          <w:tcPr>
            <w:tcW w:w="360" w:type="dxa"/>
            <w:vAlign w:val="bottom"/>
            <w:shd w:val="clear" w:color="auto" w:fill="CCEEFF"/>
          </w:tcPr>
          <w:p>
            <w:pPr>
              <w:spacing w:after="0"/>
              <w:rPr>
                <w:sz w:val="12"/>
                <w:szCs w:val="12"/>
                <w:color w:val="auto"/>
              </w:rPr>
            </w:pPr>
          </w:p>
        </w:tc>
      </w:tr>
      <w:tr>
        <w:trPr>
          <w:trHeight w:val="156"/>
        </w:trPr>
        <w:tc>
          <w:tcPr>
            <w:tcW w:w="612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CASH, CASH EQUIVALENTS, AND RESTRICTED CASH, BEGINNING OF YEAR</w:t>
            </w:r>
          </w:p>
        </w:tc>
        <w:tc>
          <w:tcPr>
            <w:tcW w:w="52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28,816</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34,489</w:t>
            </w:r>
          </w:p>
        </w:tc>
        <w:tc>
          <w:tcPr>
            <w:tcW w:w="360" w:type="dxa"/>
            <w:vAlign w:val="bottom"/>
            <w:tcBorders>
              <w:bottom w:val="single" w:sz="8" w:color="CCEEFF"/>
            </w:tcBorders>
          </w:tcPr>
          <w:p>
            <w:pPr>
              <w:spacing w:after="0"/>
              <w:rPr>
                <w:sz w:val="13"/>
                <w:szCs w:val="13"/>
                <w:color w:val="auto"/>
              </w:rPr>
            </w:pPr>
          </w:p>
        </w:tc>
      </w:tr>
      <w:tr>
        <w:trPr>
          <w:trHeight w:val="156"/>
        </w:trPr>
        <w:tc>
          <w:tcPr>
            <w:tcW w:w="6120" w:type="dxa"/>
            <w:vAlign w:val="bottom"/>
            <w:tcBorders>
              <w:bottom w:val="single" w:sz="8" w:color="CCEEFF"/>
            </w:tcBorders>
            <w:shd w:val="clear" w:color="auto" w:fill="CCEEFF"/>
          </w:tcPr>
          <w:p>
            <w:pPr>
              <w:spacing w:after="0" w:line="149" w:lineRule="exact"/>
              <w:rPr>
                <w:sz w:val="20"/>
                <w:szCs w:val="20"/>
                <w:color w:val="auto"/>
              </w:rPr>
            </w:pPr>
            <w:r>
              <w:rPr>
                <w:rFonts w:ascii="Arial" w:cs="Arial" w:eastAsia="Arial" w:hAnsi="Arial"/>
                <w:sz w:val="14"/>
                <w:szCs w:val="14"/>
                <w:color w:val="auto"/>
              </w:rPr>
              <w:t>CASH, CASH EQUIVALENTS, AND RESTRICTED CASH, END OF PERIOD</w:t>
            </w:r>
          </w:p>
        </w:tc>
        <w:tc>
          <w:tcPr>
            <w:tcW w:w="5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57,751</w:t>
            </w:r>
          </w:p>
        </w:tc>
        <w:tc>
          <w:tcPr>
            <w:tcW w:w="200" w:type="dxa"/>
            <w:vAlign w:val="bottom"/>
            <w:tcBorders>
              <w:bottom w:val="single" w:sz="8" w:color="CCEEFF"/>
            </w:tcBorders>
            <w:shd w:val="clear" w:color="auto" w:fill="CCEEFF"/>
          </w:tcPr>
          <w:p>
            <w:pPr>
              <w:spacing w:after="0"/>
              <w:rPr>
                <w:sz w:val="13"/>
                <w:szCs w:val="13"/>
                <w:color w:val="auto"/>
              </w:rPr>
            </w:pPr>
          </w:p>
        </w:tc>
        <w:tc>
          <w:tcPr>
            <w:tcW w:w="160" w:type="dxa"/>
            <w:vAlign w:val="bottom"/>
            <w:tcBorders>
              <w:bottom w:val="single" w:sz="8" w:color="auto"/>
            </w:tcBorders>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35,729</w:t>
            </w:r>
          </w:p>
        </w:tc>
        <w:tc>
          <w:tcPr>
            <w:tcW w:w="360" w:type="dxa"/>
            <w:vAlign w:val="bottom"/>
            <w:tcBorders>
              <w:bottom w:val="single" w:sz="8" w:color="CCEEFF"/>
            </w:tcBorders>
            <w:shd w:val="clear" w:color="auto" w:fill="CCEEFF"/>
          </w:tcPr>
          <w:p>
            <w:pPr>
              <w:spacing w:after="0"/>
              <w:rPr>
                <w:sz w:val="13"/>
                <w:szCs w:val="13"/>
                <w:color w:val="auto"/>
              </w:rPr>
            </w:pPr>
          </w:p>
        </w:tc>
      </w:tr>
      <w:tr>
        <w:trPr>
          <w:trHeight w:val="81"/>
        </w:trPr>
        <w:tc>
          <w:tcPr>
            <w:tcW w:w="612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8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Pr>
          <w:p>
            <w:pPr>
              <w:spacing w:after="0"/>
              <w:rPr>
                <w:sz w:val="7"/>
                <w:szCs w:val="7"/>
                <w:color w:val="auto"/>
              </w:rPr>
            </w:pPr>
          </w:p>
        </w:tc>
        <w:tc>
          <w:tcPr>
            <w:tcW w:w="360" w:type="dxa"/>
            <w:vAlign w:val="bottom"/>
          </w:tcPr>
          <w:p>
            <w:pPr>
              <w:spacing w:after="0"/>
              <w:rPr>
                <w:sz w:val="7"/>
                <w:szCs w:val="7"/>
                <w:color w:val="auto"/>
              </w:rPr>
            </w:pPr>
          </w:p>
        </w:tc>
      </w:tr>
      <w:tr>
        <w:trPr>
          <w:trHeight w:val="149"/>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RECONCILIATION OF CASH AND CASH EQUIVALENTS AND RESTRICTED CASH:</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r>
      <w:tr>
        <w:trPr>
          <w:trHeight w:val="149"/>
        </w:trPr>
        <w:tc>
          <w:tcPr>
            <w:tcW w:w="6120" w:type="dxa"/>
            <w:vAlign w:val="bottom"/>
          </w:tcPr>
          <w:p>
            <w:pPr>
              <w:spacing w:after="0" w:line="149" w:lineRule="exact"/>
              <w:rPr>
                <w:sz w:val="20"/>
                <w:szCs w:val="20"/>
                <w:color w:val="auto"/>
              </w:rPr>
            </w:pPr>
            <w:r>
              <w:rPr>
                <w:rFonts w:ascii="Arial" w:cs="Arial" w:eastAsia="Arial" w:hAnsi="Arial"/>
                <w:sz w:val="14"/>
                <w:szCs w:val="14"/>
                <w:color w:val="auto"/>
              </w:rPr>
              <w:t>Cash and cash equivalents, beginning of period</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28,339</w:t>
            </w:r>
          </w:p>
        </w:tc>
        <w:tc>
          <w:tcPr>
            <w:tcW w:w="20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34,091</w:t>
            </w:r>
          </w:p>
        </w:tc>
        <w:tc>
          <w:tcPr>
            <w:tcW w:w="360" w:type="dxa"/>
            <w:vAlign w:val="bottom"/>
          </w:tcPr>
          <w:p>
            <w:pPr>
              <w:spacing w:after="0"/>
              <w:rPr>
                <w:sz w:val="12"/>
                <w:szCs w:val="12"/>
                <w:color w:val="auto"/>
              </w:rPr>
            </w:pPr>
          </w:p>
        </w:tc>
      </w:tr>
      <w:tr>
        <w:trPr>
          <w:trHeight w:val="149"/>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cash, beginning of period</w:t>
            </w:r>
          </w:p>
        </w:tc>
        <w:tc>
          <w:tcPr>
            <w:tcW w:w="5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477</w:t>
            </w: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398</w:t>
            </w:r>
          </w:p>
        </w:tc>
        <w:tc>
          <w:tcPr>
            <w:tcW w:w="360" w:type="dxa"/>
            <w:vAlign w:val="bottom"/>
            <w:shd w:val="clear" w:color="auto" w:fill="CCEEFF"/>
          </w:tcPr>
          <w:p>
            <w:pPr>
              <w:spacing w:after="0"/>
              <w:rPr>
                <w:sz w:val="12"/>
                <w:szCs w:val="12"/>
                <w:color w:val="auto"/>
              </w:rPr>
            </w:pPr>
          </w:p>
        </w:tc>
      </w:tr>
      <w:tr>
        <w:trPr>
          <w:trHeight w:val="149"/>
        </w:trPr>
        <w:tc>
          <w:tcPr>
            <w:tcW w:w="61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Cash, cash equivalents, and restricted cash, beginning of period</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28,816</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34,489</w:t>
            </w:r>
          </w:p>
        </w:tc>
        <w:tc>
          <w:tcPr>
            <w:tcW w:w="360" w:type="dxa"/>
            <w:vAlign w:val="bottom"/>
            <w:tcBorders>
              <w:bottom w:val="single" w:sz="8" w:color="CCEEFF"/>
            </w:tcBorders>
          </w:tcPr>
          <w:p>
            <w:pPr>
              <w:spacing w:after="0"/>
              <w:rPr>
                <w:sz w:val="12"/>
                <w:szCs w:val="12"/>
                <w:color w:val="auto"/>
              </w:rPr>
            </w:pPr>
          </w:p>
        </w:tc>
      </w:tr>
      <w:tr>
        <w:trPr>
          <w:trHeight w:val="81"/>
        </w:trPr>
        <w:tc>
          <w:tcPr>
            <w:tcW w:w="61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r>
      <w:tr>
        <w:trPr>
          <w:trHeight w:val="149"/>
        </w:trPr>
        <w:tc>
          <w:tcPr>
            <w:tcW w:w="6120" w:type="dxa"/>
            <w:vAlign w:val="bottom"/>
          </w:tcPr>
          <w:p>
            <w:pPr>
              <w:spacing w:after="0" w:line="149" w:lineRule="exact"/>
              <w:rPr>
                <w:sz w:val="20"/>
                <w:szCs w:val="20"/>
                <w:color w:val="auto"/>
              </w:rPr>
            </w:pPr>
            <w:r>
              <w:rPr>
                <w:rFonts w:ascii="Arial" w:cs="Arial" w:eastAsia="Arial" w:hAnsi="Arial"/>
                <w:sz w:val="14"/>
                <w:szCs w:val="14"/>
                <w:color w:val="auto"/>
              </w:rPr>
              <w:t>Cash and cash equivalents, end of period</w:t>
            </w: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25,326</w:t>
            </w:r>
          </w:p>
        </w:tc>
        <w:tc>
          <w:tcPr>
            <w:tcW w:w="200" w:type="dxa"/>
            <w:vAlign w:val="bottom"/>
          </w:tcPr>
          <w:p>
            <w:pPr>
              <w:spacing w:after="0"/>
              <w:rPr>
                <w:sz w:val="12"/>
                <w:szCs w:val="12"/>
                <w:color w:val="auto"/>
              </w:rPr>
            </w:pPr>
          </w:p>
        </w:tc>
        <w:tc>
          <w:tcPr>
            <w:tcW w:w="160" w:type="dxa"/>
            <w:vAlign w:val="bottom"/>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31,020</w:t>
            </w:r>
          </w:p>
        </w:tc>
        <w:tc>
          <w:tcPr>
            <w:tcW w:w="360" w:type="dxa"/>
            <w:vAlign w:val="bottom"/>
          </w:tcPr>
          <w:p>
            <w:pPr>
              <w:spacing w:after="0"/>
              <w:rPr>
                <w:sz w:val="12"/>
                <w:szCs w:val="12"/>
                <w:color w:val="auto"/>
              </w:rPr>
            </w:pPr>
          </w:p>
        </w:tc>
      </w:tr>
      <w:tr>
        <w:trPr>
          <w:trHeight w:val="149"/>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Restricted cash, end of period</w:t>
            </w:r>
          </w:p>
        </w:tc>
        <w:tc>
          <w:tcPr>
            <w:tcW w:w="52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32,425</w:t>
            </w: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4,709</w:t>
            </w:r>
          </w:p>
        </w:tc>
        <w:tc>
          <w:tcPr>
            <w:tcW w:w="360" w:type="dxa"/>
            <w:vAlign w:val="bottom"/>
            <w:shd w:val="clear" w:color="auto" w:fill="CCEEFF"/>
          </w:tcPr>
          <w:p>
            <w:pPr>
              <w:spacing w:after="0"/>
              <w:rPr>
                <w:sz w:val="12"/>
                <w:szCs w:val="12"/>
                <w:color w:val="auto"/>
              </w:rPr>
            </w:pPr>
          </w:p>
        </w:tc>
      </w:tr>
      <w:tr>
        <w:trPr>
          <w:trHeight w:val="149"/>
        </w:trPr>
        <w:tc>
          <w:tcPr>
            <w:tcW w:w="612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Cash, cash equivalents, and restricted cash, end of period</w:t>
            </w:r>
          </w:p>
        </w:tc>
        <w:tc>
          <w:tcPr>
            <w:tcW w:w="52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2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57,751</w:t>
            </w: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jc w:val="right"/>
              <w:ind w:right="8"/>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35,729</w:t>
            </w:r>
          </w:p>
        </w:tc>
        <w:tc>
          <w:tcPr>
            <w:tcW w:w="360" w:type="dxa"/>
            <w:vAlign w:val="bottom"/>
            <w:tcBorders>
              <w:bottom w:val="single" w:sz="8" w:color="CCEEFF"/>
            </w:tcBorders>
          </w:tcPr>
          <w:p>
            <w:pPr>
              <w:spacing w:after="0"/>
              <w:rPr>
                <w:sz w:val="12"/>
                <w:szCs w:val="12"/>
                <w:color w:val="auto"/>
              </w:rPr>
            </w:pPr>
          </w:p>
        </w:tc>
      </w:tr>
      <w:tr>
        <w:trPr>
          <w:trHeight w:val="81"/>
        </w:trPr>
        <w:tc>
          <w:tcPr>
            <w:tcW w:w="6120" w:type="dxa"/>
            <w:vAlign w:val="bottom"/>
            <w:shd w:val="clear" w:color="auto" w:fill="CCEEFF"/>
          </w:tcPr>
          <w:p>
            <w:pPr>
              <w:spacing w:after="0"/>
              <w:rPr>
                <w:sz w:val="7"/>
                <w:szCs w:val="7"/>
                <w:color w:val="auto"/>
              </w:rPr>
            </w:pPr>
          </w:p>
        </w:tc>
        <w:tc>
          <w:tcPr>
            <w:tcW w:w="52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160" w:type="dxa"/>
            <w:vAlign w:val="bottom"/>
            <w:shd w:val="clear" w:color="auto" w:fill="CCEEFF"/>
          </w:tcPr>
          <w:p>
            <w:pPr>
              <w:spacing w:after="0"/>
              <w:rPr>
                <w:sz w:val="7"/>
                <w:szCs w:val="7"/>
                <w:color w:val="auto"/>
              </w:rPr>
            </w:pPr>
          </w:p>
        </w:tc>
        <w:tc>
          <w:tcPr>
            <w:tcW w:w="780" w:type="dxa"/>
            <w:vAlign w:val="bottom"/>
            <w:shd w:val="clear" w:color="auto" w:fill="CCEEFF"/>
          </w:tcPr>
          <w:p>
            <w:pPr>
              <w:spacing w:after="0"/>
              <w:rPr>
                <w:sz w:val="7"/>
                <w:szCs w:val="7"/>
                <w:color w:val="auto"/>
              </w:rPr>
            </w:pPr>
          </w:p>
        </w:tc>
        <w:tc>
          <w:tcPr>
            <w:tcW w:w="360" w:type="dxa"/>
            <w:vAlign w:val="bottom"/>
            <w:shd w:val="clear" w:color="auto" w:fill="CCEEFF"/>
          </w:tcPr>
          <w:p>
            <w:pPr>
              <w:spacing w:after="0"/>
              <w:rPr>
                <w:sz w:val="7"/>
                <w:szCs w:val="7"/>
                <w:color w:val="auto"/>
              </w:rPr>
            </w:pPr>
          </w:p>
        </w:tc>
      </w:tr>
      <w:tr>
        <w:trPr>
          <w:trHeight w:val="149"/>
        </w:trPr>
        <w:tc>
          <w:tcPr>
            <w:tcW w:w="6120" w:type="dxa"/>
            <w:vAlign w:val="bottom"/>
          </w:tcPr>
          <w:p>
            <w:pPr>
              <w:spacing w:after="0" w:line="149" w:lineRule="exact"/>
              <w:rPr>
                <w:sz w:val="20"/>
                <w:szCs w:val="20"/>
                <w:color w:val="auto"/>
              </w:rPr>
            </w:pPr>
            <w:r>
              <w:rPr>
                <w:rFonts w:ascii="Arial" w:cs="Arial" w:eastAsia="Arial" w:hAnsi="Arial"/>
                <w:sz w:val="14"/>
                <w:szCs w:val="14"/>
                <w:color w:val="auto"/>
              </w:rPr>
              <w:t>SUPPLEMENTAL INFORMATION:</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60" w:type="dxa"/>
            <w:vAlign w:val="bottom"/>
          </w:tcPr>
          <w:p>
            <w:pPr>
              <w:spacing w:after="0"/>
              <w:rPr>
                <w:sz w:val="12"/>
                <w:szCs w:val="12"/>
                <w:color w:val="auto"/>
              </w:rPr>
            </w:pPr>
          </w:p>
        </w:tc>
      </w:tr>
      <w:tr>
        <w:trPr>
          <w:trHeight w:val="149"/>
        </w:trPr>
        <w:tc>
          <w:tcPr>
            <w:tcW w:w="61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Interest paid</w:t>
            </w: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843</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w:t>
            </w:r>
          </w:p>
        </w:tc>
        <w:tc>
          <w:tcPr>
            <w:tcW w:w="360" w:type="dxa"/>
            <w:vAlign w:val="bottom"/>
            <w:shd w:val="clear" w:color="auto" w:fill="CCEEFF"/>
          </w:tcPr>
          <w:p>
            <w:pPr>
              <w:spacing w:after="0"/>
              <w:rPr>
                <w:sz w:val="12"/>
                <w:szCs w:val="12"/>
                <w:color w:val="auto"/>
              </w:rPr>
            </w:pPr>
          </w:p>
        </w:tc>
      </w:tr>
      <w:tr>
        <w:trPr>
          <w:trHeight w:val="149"/>
        </w:trPr>
        <w:tc>
          <w:tcPr>
            <w:tcW w:w="6120" w:type="dxa"/>
            <w:vAlign w:val="bottom"/>
          </w:tcPr>
          <w:p>
            <w:pPr>
              <w:ind w:left="120"/>
              <w:spacing w:after="0" w:line="149" w:lineRule="exact"/>
              <w:rPr>
                <w:sz w:val="20"/>
                <w:szCs w:val="20"/>
                <w:color w:val="auto"/>
              </w:rPr>
            </w:pPr>
            <w:r>
              <w:rPr>
                <w:rFonts w:ascii="Arial" w:cs="Arial" w:eastAsia="Arial" w:hAnsi="Arial"/>
                <w:sz w:val="14"/>
                <w:szCs w:val="14"/>
                <w:color w:val="auto"/>
              </w:rPr>
              <w:t>Income taxes paid</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1,245</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2,337</w:t>
            </w:r>
          </w:p>
        </w:tc>
        <w:tc>
          <w:tcPr>
            <w:tcW w:w="360" w:type="dxa"/>
            <w:vAlign w:val="bottom"/>
          </w:tcPr>
          <w:p>
            <w:pPr>
              <w:spacing w:after="0"/>
              <w:rPr>
                <w:sz w:val="12"/>
                <w:szCs w:val="12"/>
                <w:color w:val="auto"/>
              </w:rPr>
            </w:pPr>
          </w:p>
        </w:tc>
      </w:tr>
      <w:tr>
        <w:trPr>
          <w:trHeight w:val="149"/>
        </w:trPr>
        <w:tc>
          <w:tcPr>
            <w:tcW w:w="6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NON-CASH FINANCING ACTIVITIES:</w:t>
            </w:r>
          </w:p>
        </w:tc>
        <w:tc>
          <w:tcPr>
            <w:tcW w:w="5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r>
      <w:tr>
        <w:trPr>
          <w:trHeight w:val="182"/>
        </w:trPr>
        <w:tc>
          <w:tcPr>
            <w:tcW w:w="6120" w:type="dxa"/>
            <w:vAlign w:val="bottom"/>
          </w:tcPr>
          <w:p>
            <w:pPr>
              <w:spacing w:after="0"/>
              <w:rPr>
                <w:sz w:val="20"/>
                <w:szCs w:val="20"/>
                <w:color w:val="auto"/>
              </w:rPr>
            </w:pPr>
            <w:r>
              <w:rPr>
                <w:rFonts w:ascii="Arial" w:cs="Arial" w:eastAsia="Arial" w:hAnsi="Arial"/>
                <w:sz w:val="14"/>
                <w:szCs w:val="14"/>
                <w:color w:val="auto"/>
              </w:rPr>
              <w:t>Common stock issued under deferred compensation plans</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4,237</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3,793</w:t>
            </w:r>
          </w:p>
        </w:tc>
        <w:tc>
          <w:tcPr>
            <w:tcW w:w="360" w:type="dxa"/>
            <w:vAlign w:val="bottom"/>
          </w:tcPr>
          <w:p>
            <w:pPr>
              <w:spacing w:after="0"/>
              <w:rPr>
                <w:sz w:val="15"/>
                <w:szCs w:val="15"/>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6"/>
          <w:szCs w:val="16"/>
          <w:color w:val="auto"/>
        </w:rPr>
        <w:t>See notes to consolidated condensed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FINANCIAL STATEMENTS</w:t>
      </w:r>
    </w:p>
    <w:p>
      <w:pPr>
        <w:spacing w:after="0" w:line="207" w:lineRule="exact"/>
        <w:rPr>
          <w:sz w:val="20"/>
          <w:szCs w:val="20"/>
          <w:color w:val="auto"/>
        </w:rPr>
      </w:pPr>
    </w:p>
    <w:p>
      <w:pPr>
        <w:ind w:left="500" w:hanging="497"/>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rFonts w:ascii="Arial" w:cs="Arial" w:eastAsia="Arial" w:hAnsi="Arial"/>
          <w:sz w:val="18"/>
          <w:szCs w:val="18"/>
          <w:b w:val="1"/>
          <w:bCs w:val="1"/>
          <w:color w:val="auto"/>
        </w:rPr>
      </w:pPr>
    </w:p>
    <w:p>
      <w:pPr>
        <w:ind w:left="480" w:right="4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accompanying unaudited interim consolidated condensed financial statements (the “Financial Statements”) include our accounts and those of our wholly-owned and majority-owned subsidiaries and partnerships, and have been prepared pursuant to the rules and regulations of the Securities and Exchange Commission. Accordingly, the Financial Statements do not include all of the information and footnotes normally included in the annual consolidated financial statements prepared in accordance with accounting principles generally accepted in the United States. All intercompany transactions and balances have been eliminated.</w:t>
      </w:r>
    </w:p>
    <w:p>
      <w:pPr>
        <w:spacing w:after="0" w:line="178" w:lineRule="exact"/>
        <w:rPr>
          <w:rFonts w:ascii="Arial" w:cs="Arial" w:eastAsia="Arial" w:hAnsi="Arial"/>
          <w:sz w:val="18"/>
          <w:szCs w:val="18"/>
          <w:b w:val="1"/>
          <w:bCs w:val="1"/>
          <w:color w:val="auto"/>
        </w:rPr>
      </w:pPr>
    </w:p>
    <w:p>
      <w:pPr>
        <w:ind w:left="480" w:right="80"/>
        <w:spacing w:after="0" w:line="219" w:lineRule="exact"/>
        <w:rPr>
          <w:rFonts w:ascii="Arial" w:cs="Arial" w:eastAsia="Arial" w:hAnsi="Arial"/>
          <w:sz w:val="18"/>
          <w:szCs w:val="18"/>
          <w:b w:val="1"/>
          <w:bCs w:val="1"/>
          <w:color w:val="auto"/>
        </w:rPr>
      </w:pPr>
      <w:r>
        <w:rPr>
          <w:rFonts w:ascii="Arial" w:cs="Arial" w:eastAsia="Arial" w:hAnsi="Arial"/>
          <w:sz w:val="18"/>
          <w:szCs w:val="18"/>
          <w:color w:val="auto"/>
        </w:rPr>
        <w:t>In our opinion, the Financial Statements contain all material adjustments necessary to present fairly our consolidated financial position, results of operations and cash flows for the interim periods presented. All such adjustments are of a normal recurring nature. These Financial Statements should be read in conjunction with the annual consolidated financial statements, and footnotes thereto, included in our Annual Report to Shareholders on Form 10</w:t>
      </w:r>
      <w:r>
        <w:rPr>
          <w:rFonts w:ascii="MS PGothic" w:cs="MS PGothic" w:eastAsia="MS PGothic" w:hAnsi="MS PGothic"/>
          <w:sz w:val="18"/>
          <w:szCs w:val="18"/>
          <w:color w:val="auto"/>
        </w:rPr>
        <w:t>‑</w:t>
      </w:r>
      <w:r>
        <w:rPr>
          <w:rFonts w:ascii="Arial" w:cs="Arial" w:eastAsia="Arial" w:hAnsi="Arial"/>
          <w:sz w:val="18"/>
          <w:szCs w:val="18"/>
          <w:color w:val="auto"/>
        </w:rPr>
        <w:t>K for the fiscal year ended December 30, 2017.</w:t>
      </w:r>
    </w:p>
    <w:p>
      <w:pPr>
        <w:spacing w:after="0" w:line="205" w:lineRule="exact"/>
        <w:rPr>
          <w:rFonts w:ascii="Arial" w:cs="Arial" w:eastAsia="Arial" w:hAnsi="Arial"/>
          <w:sz w:val="18"/>
          <w:szCs w:val="18"/>
          <w:b w:val="1"/>
          <w:bCs w:val="1"/>
          <w:color w:val="auto"/>
        </w:rPr>
      </w:pPr>
    </w:p>
    <w:p>
      <w:pPr>
        <w:ind w:left="480" w:right="28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Seasonality has a significant impact on our working capital from March to August which historically results in negative or modest cash flows from operations in our first and second quarters. Conversely, we experience a substantial decrease in working capital from September to February which typically results in significant cash flow from operations in our third and fourth quarters. For comparative purposes, we have included the April 1, 2017 balances in the accompanying unaudited consolidated condensed balance sheets.</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14" w:lineRule="exact"/>
        <w:rPr>
          <w:rFonts w:ascii="Arial" w:cs="Arial" w:eastAsia="Arial" w:hAnsi="Arial"/>
          <w:sz w:val="18"/>
          <w:szCs w:val="18"/>
          <w:b w:val="1"/>
          <w:bCs w:val="1"/>
          <w:color w:val="auto"/>
        </w:rPr>
      </w:pPr>
    </w:p>
    <w:p>
      <w:pPr>
        <w:ind w:left="480" w:hanging="477"/>
        <w:spacing w:after="0"/>
        <w:tabs>
          <w:tab w:leader="none" w:pos="4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w:t>
      </w:r>
    </w:p>
    <w:p>
      <w:pPr>
        <w:spacing w:after="0" w:line="229" w:lineRule="exact"/>
        <w:rPr>
          <w:sz w:val="20"/>
          <w:szCs w:val="20"/>
          <w:color w:val="auto"/>
        </w:rPr>
      </w:pPr>
    </w:p>
    <w:p>
      <w:pPr>
        <w:ind w:left="480" w:right="160"/>
        <w:spacing w:after="0" w:line="277" w:lineRule="auto"/>
        <w:rPr>
          <w:sz w:val="20"/>
          <w:szCs w:val="20"/>
          <w:color w:val="auto"/>
        </w:rPr>
      </w:pPr>
      <w:r>
        <w:rPr>
          <w:rFonts w:ascii="Arial" w:cs="Arial" w:eastAsia="Arial" w:hAnsi="Arial"/>
          <w:sz w:val="18"/>
          <w:szCs w:val="18"/>
          <w:color w:val="auto"/>
        </w:rPr>
        <w:t xml:space="preserve">We apply the provisions of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to assets and liabilities measured at fair value. Assets measured at fair value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0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6"/>
              </w:rPr>
              <w:t>March 31, 2018</w:t>
            </w:r>
          </w:p>
        </w:tc>
        <w:tc>
          <w:tcPr>
            <w:tcW w:w="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9"/>
              </w:rPr>
              <w:t>April 1, 2017</w:t>
            </w:r>
          </w:p>
        </w:tc>
        <w:tc>
          <w:tcPr>
            <w:tcW w:w="2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r>
      <w:tr>
        <w:trPr>
          <w:trHeight w:val="126"/>
        </w:trPr>
        <w:tc>
          <w:tcPr>
            <w:tcW w:w="30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tcPr>
          <w:p>
            <w:pPr>
              <w:jc w:val="center"/>
              <w:ind w:right="56"/>
              <w:spacing w:after="0" w:line="126" w:lineRule="exact"/>
              <w:rPr>
                <w:sz w:val="20"/>
                <w:szCs w:val="20"/>
                <w:color w:val="auto"/>
              </w:rPr>
            </w:pPr>
            <w:r>
              <w:rPr>
                <w:rFonts w:ascii="Arial" w:cs="Arial" w:eastAsia="Arial" w:hAnsi="Arial"/>
                <w:sz w:val="14"/>
                <w:szCs w:val="14"/>
                <w:b w:val="1"/>
                <w:bCs w:val="1"/>
                <w:color w:val="auto"/>
                <w:w w:val="89"/>
              </w:rPr>
              <w:t>Quoted</w:t>
            </w:r>
          </w:p>
        </w:tc>
        <w:tc>
          <w:tcPr>
            <w:tcW w:w="180" w:type="dxa"/>
            <w:vAlign w:val="bottom"/>
          </w:tcPr>
          <w:p>
            <w:pPr>
              <w:spacing w:after="0"/>
              <w:rPr>
                <w:sz w:val="10"/>
                <w:szCs w:val="10"/>
                <w:color w:val="auto"/>
              </w:rPr>
            </w:pPr>
          </w:p>
        </w:tc>
        <w:tc>
          <w:tcPr>
            <w:tcW w:w="960" w:type="dxa"/>
            <w:vAlign w:val="bottom"/>
            <w:gridSpan w:val="3"/>
          </w:tcPr>
          <w:p>
            <w:pPr>
              <w:jc w:val="center"/>
              <w:ind w:right="120"/>
              <w:spacing w:after="0" w:line="126" w:lineRule="exact"/>
              <w:rPr>
                <w:sz w:val="20"/>
                <w:szCs w:val="20"/>
                <w:color w:val="auto"/>
              </w:rPr>
            </w:pPr>
            <w:r>
              <w:rPr>
                <w:rFonts w:ascii="Arial" w:cs="Arial" w:eastAsia="Arial" w:hAnsi="Arial"/>
                <w:sz w:val="14"/>
                <w:szCs w:val="14"/>
                <w:b w:val="1"/>
                <w:bCs w:val="1"/>
                <w:color w:val="auto"/>
                <w:w w:val="91"/>
              </w:rPr>
              <w:t>Prices with</w:t>
            </w: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40" w:type="dxa"/>
            <w:vAlign w:val="bottom"/>
          </w:tcPr>
          <w:p>
            <w:pPr>
              <w:jc w:val="center"/>
              <w:ind w:right="36"/>
              <w:spacing w:after="0" w:line="126" w:lineRule="exact"/>
              <w:rPr>
                <w:sz w:val="20"/>
                <w:szCs w:val="20"/>
                <w:color w:val="auto"/>
              </w:rPr>
            </w:pPr>
            <w:r>
              <w:rPr>
                <w:rFonts w:ascii="Arial" w:cs="Arial" w:eastAsia="Arial" w:hAnsi="Arial"/>
                <w:sz w:val="14"/>
                <w:szCs w:val="14"/>
                <w:b w:val="1"/>
                <w:bCs w:val="1"/>
                <w:color w:val="auto"/>
                <w:w w:val="93"/>
              </w:rPr>
              <w:t>Quoted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jc w:val="center"/>
              <w:spacing w:after="0" w:line="126" w:lineRule="exact"/>
              <w:rPr>
                <w:sz w:val="20"/>
                <w:szCs w:val="20"/>
                <w:color w:val="auto"/>
              </w:rPr>
            </w:pPr>
            <w:r>
              <w:rPr>
                <w:rFonts w:ascii="Arial" w:cs="Arial" w:eastAsia="Arial" w:hAnsi="Arial"/>
                <w:sz w:val="14"/>
                <w:szCs w:val="14"/>
                <w:b w:val="1"/>
                <w:bCs w:val="1"/>
                <w:color w:val="auto"/>
                <w:w w:val="91"/>
              </w:rPr>
              <w:t>Prices with</w:t>
            </w:r>
          </w:p>
        </w:tc>
        <w:tc>
          <w:tcPr>
            <w:tcW w:w="2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r>
      <w:tr>
        <w:trPr>
          <w:trHeight w:val="149"/>
        </w:trPr>
        <w:tc>
          <w:tcPr>
            <w:tcW w:w="3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89"/>
              </w:rPr>
              <w:t>Prices in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2"/>
              </w:rPr>
              <w:t>Prices in</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rPr>
              <w:t>Other</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9"/>
        </w:trPr>
        <w:tc>
          <w:tcPr>
            <w:tcW w:w="3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5"/>
              </w:rPr>
              <w:t>Active</w:t>
            </w:r>
          </w:p>
        </w:tc>
        <w:tc>
          <w:tcPr>
            <w:tcW w:w="180" w:type="dxa"/>
            <w:vAlign w:val="bottom"/>
          </w:tcPr>
          <w:p>
            <w:pPr>
              <w:spacing w:after="0"/>
              <w:rPr>
                <w:sz w:val="12"/>
                <w:szCs w:val="12"/>
                <w:color w:val="auto"/>
              </w:rPr>
            </w:pPr>
          </w:p>
        </w:tc>
        <w:tc>
          <w:tcPr>
            <w:tcW w:w="96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Observable</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36"/>
              <w:spacing w:after="0" w:line="149" w:lineRule="exact"/>
              <w:rPr>
                <w:sz w:val="20"/>
                <w:szCs w:val="20"/>
                <w:color w:val="auto"/>
              </w:rPr>
            </w:pPr>
            <w:r>
              <w:rPr>
                <w:rFonts w:ascii="Arial" w:cs="Arial" w:eastAsia="Arial" w:hAnsi="Arial"/>
                <w:sz w:val="14"/>
                <w:szCs w:val="14"/>
                <w:b w:val="1"/>
                <w:bCs w:val="1"/>
                <w:color w:val="auto"/>
                <w:w w:val="90"/>
              </w:rPr>
              <w:t>Active</w:t>
            </w:r>
          </w:p>
        </w:tc>
        <w:tc>
          <w:tcPr>
            <w:tcW w:w="180" w:type="dxa"/>
            <w:vAlign w:val="bottom"/>
          </w:tcPr>
          <w:p>
            <w:pPr>
              <w:spacing w:after="0"/>
              <w:rPr>
                <w:sz w:val="12"/>
                <w:szCs w:val="12"/>
                <w:color w:val="auto"/>
              </w:rPr>
            </w:pP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1"/>
              </w:rPr>
              <w:t>Observable</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49"/>
        </w:trPr>
        <w:tc>
          <w:tcPr>
            <w:tcW w:w="3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4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8"/>
              </w:rPr>
              <w:t>Markets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Inputs</w:t>
            </w: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center"/>
              <w:ind w:right="56"/>
              <w:spacing w:after="0" w:line="149" w:lineRule="exact"/>
              <w:rPr>
                <w:sz w:val="20"/>
                <w:szCs w:val="20"/>
                <w:color w:val="auto"/>
              </w:rPr>
            </w:pPr>
            <w:r>
              <w:rPr>
                <w:rFonts w:ascii="Arial" w:cs="Arial" w:eastAsia="Arial" w:hAnsi="Arial"/>
                <w:sz w:val="14"/>
                <w:szCs w:val="14"/>
                <w:b w:val="1"/>
                <w:bCs w:val="1"/>
                <w:color w:val="auto"/>
                <w:w w:val="98"/>
              </w:rPr>
              <w:t>Markets</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Inputs</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78"/>
        </w:trPr>
        <w:tc>
          <w:tcPr>
            <w:tcW w:w="302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740" w:type="dxa"/>
            <w:vAlign w:val="bottom"/>
          </w:tcPr>
          <w:p>
            <w:pPr>
              <w:jc w:val="center"/>
              <w:ind w:right="36"/>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(Level 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5"/>
                <w:szCs w:val="15"/>
                <w:color w:val="auto"/>
              </w:rPr>
            </w:pPr>
          </w:p>
        </w:tc>
        <w:tc>
          <w:tcPr>
            <w:tcW w:w="740" w:type="dxa"/>
            <w:vAlign w:val="bottom"/>
          </w:tcPr>
          <w:p>
            <w:pPr>
              <w:jc w:val="center"/>
              <w:ind w:right="36"/>
              <w:spacing w:after="0"/>
              <w:rPr>
                <w:sz w:val="20"/>
                <w:szCs w:val="20"/>
                <w:color w:val="auto"/>
              </w:rPr>
            </w:pPr>
            <w:r>
              <w:rPr>
                <w:rFonts w:ascii="Arial" w:cs="Arial" w:eastAsia="Arial" w:hAnsi="Arial"/>
                <w:sz w:val="14"/>
                <w:szCs w:val="14"/>
                <w:b w:val="1"/>
                <w:bCs w:val="1"/>
                <w:color w:val="auto"/>
                <w:w w:val="94"/>
              </w:rPr>
              <w:t>(Level 1)</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center"/>
              <w:ind w:right="15"/>
              <w:spacing w:after="0"/>
              <w:rPr>
                <w:sz w:val="20"/>
                <w:szCs w:val="20"/>
                <w:color w:val="auto"/>
              </w:rPr>
            </w:pPr>
            <w:r>
              <w:rPr>
                <w:rFonts w:ascii="Arial" w:cs="Arial" w:eastAsia="Arial" w:hAnsi="Arial"/>
                <w:sz w:val="14"/>
                <w:szCs w:val="14"/>
                <w:b w:val="1"/>
                <w:bCs w:val="1"/>
                <w:color w:val="auto"/>
                <w:w w:val="94"/>
              </w:rPr>
              <w:t>(Level 2)</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40" w:type="dxa"/>
            <w:vAlign w:val="bottom"/>
          </w:tcPr>
          <w:p>
            <w:pPr>
              <w:jc w:val="right"/>
              <w:ind w:right="152"/>
              <w:spacing w:after="0"/>
              <w:rPr>
                <w:sz w:val="20"/>
                <w:szCs w:val="20"/>
                <w:color w:val="auto"/>
              </w:rPr>
            </w:pPr>
            <w:r>
              <w:rPr>
                <w:rFonts w:ascii="Arial" w:cs="Arial" w:eastAsia="Arial" w:hAnsi="Arial"/>
                <w:sz w:val="14"/>
                <w:szCs w:val="14"/>
                <w:b w:val="1"/>
                <w:bCs w:val="1"/>
                <w:color w:val="auto"/>
              </w:rPr>
              <w:t>Total</w:t>
            </w:r>
          </w:p>
        </w:tc>
      </w:tr>
      <w:tr>
        <w:trPr>
          <w:trHeight w:val="216"/>
        </w:trPr>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funds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4,744</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4,809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4,628</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Fixed income funds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7,111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9,270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4,055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4,055</w:t>
            </w: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5,928</w:t>
            </w: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Mutual funds: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3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Domestic stock funds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w:t>
            </w:r>
          </w:p>
        </w:tc>
      </w:tr>
      <w:tr>
        <w:trPr>
          <w:trHeight w:val="216"/>
        </w:trPr>
        <w:tc>
          <w:tcPr>
            <w:tcW w:w="3020" w:type="dxa"/>
            <w:vAlign w:val="bottom"/>
          </w:tcPr>
          <w:p>
            <w:pPr>
              <w:ind w:left="120"/>
              <w:spacing w:after="0"/>
              <w:rPr>
                <w:sz w:val="20"/>
                <w:szCs w:val="20"/>
                <w:color w:val="auto"/>
              </w:rPr>
            </w:pPr>
            <w:r>
              <w:rPr>
                <w:rFonts w:ascii="Arial" w:cs="Arial" w:eastAsia="Arial" w:hAnsi="Arial"/>
                <w:sz w:val="18"/>
                <w:szCs w:val="18"/>
                <w:color w:val="auto"/>
              </w:rPr>
              <w:t>International stock funds</w:t>
            </w: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1,159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3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Target funds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r>
      <w:tr>
        <w:trPr>
          <w:trHeight w:val="223"/>
        </w:trPr>
        <w:tc>
          <w:tcPr>
            <w:tcW w:w="30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Bond funds</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554</w:t>
            </w:r>
          </w:p>
        </w:tc>
        <w:tc>
          <w:tcPr>
            <w:tcW w:w="1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1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r>
      <w:tr>
        <w:trPr>
          <w:trHeight w:val="236"/>
        </w:trPr>
        <w:tc>
          <w:tcPr>
            <w:tcW w:w="3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mutual funds</w:t>
            </w:r>
          </w:p>
        </w:tc>
        <w:tc>
          <w:tcPr>
            <w:tcW w:w="14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2,805</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3,895</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w:t>
            </w:r>
          </w:p>
        </w:tc>
      </w:tr>
      <w:tr>
        <w:trPr>
          <w:trHeight w:val="203"/>
        </w:trPr>
        <w:tc>
          <w:tcPr>
            <w:tcW w:w="3020" w:type="dxa"/>
            <w:vAlign w:val="bottom"/>
          </w:tcPr>
          <w:p>
            <w:pPr>
              <w:spacing w:after="0" w:line="203" w:lineRule="exact"/>
              <w:rPr>
                <w:sz w:val="20"/>
                <w:szCs w:val="20"/>
                <w:color w:val="auto"/>
              </w:rPr>
            </w:pPr>
            <w:r>
              <w:rPr>
                <w:rFonts w:ascii="Arial" w:cs="Arial" w:eastAsia="Arial" w:hAnsi="Arial"/>
                <w:sz w:val="18"/>
                <w:szCs w:val="18"/>
                <w:color w:val="auto"/>
              </w:rPr>
              <w:t>Total</w:t>
            </w: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12,231</w:t>
            </w:r>
          </w:p>
        </w:tc>
        <w:tc>
          <w:tcPr>
            <w:tcW w:w="18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12,945</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25,176</w:t>
            </w:r>
          </w:p>
        </w:tc>
        <w:tc>
          <w:tcPr>
            <w:tcW w:w="180" w:type="dxa"/>
            <w:vAlign w:val="bottom"/>
          </w:tcPr>
          <w:p>
            <w:pPr>
              <w:spacing w:after="0"/>
              <w:rPr>
                <w:sz w:val="17"/>
                <w:szCs w:val="17"/>
                <w:color w:val="auto"/>
              </w:rPr>
            </w:pPr>
          </w:p>
        </w:tc>
        <w:tc>
          <w:tcPr>
            <w:tcW w:w="12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line="203" w:lineRule="exact"/>
              <w:rPr>
                <w:sz w:val="20"/>
                <w:szCs w:val="20"/>
                <w:color w:val="auto"/>
              </w:rPr>
            </w:pPr>
            <w:r>
              <w:rPr>
                <w:rFonts w:ascii="Arial" w:cs="Arial" w:eastAsia="Arial" w:hAnsi="Arial"/>
                <w:sz w:val="18"/>
                <w:szCs w:val="18"/>
                <w:color w:val="auto"/>
              </w:rPr>
              <w:t>10,893</w:t>
            </w:r>
          </w:p>
        </w:tc>
        <w:tc>
          <w:tcPr>
            <w:tcW w:w="180" w:type="dxa"/>
            <w:vAlign w:val="bottom"/>
          </w:tcPr>
          <w:p>
            <w:pPr>
              <w:spacing w:after="0"/>
              <w:rPr>
                <w:sz w:val="17"/>
                <w:szCs w:val="17"/>
                <w:color w:val="auto"/>
              </w:rPr>
            </w:pPr>
          </w:p>
        </w:tc>
        <w:tc>
          <w:tcPr>
            <w:tcW w:w="100" w:type="dxa"/>
            <w:vAlign w:val="bottom"/>
          </w:tcPr>
          <w:p>
            <w:pPr>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4,564</w:t>
            </w:r>
          </w:p>
        </w:tc>
        <w:tc>
          <w:tcPr>
            <w:tcW w:w="200" w:type="dxa"/>
            <w:vAlign w:val="bottom"/>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15,457</w:t>
            </w:r>
          </w:p>
        </w:tc>
      </w:tr>
      <w:tr>
        <w:trPr>
          <w:trHeight w:val="216"/>
        </w:trPr>
        <w:tc>
          <w:tcPr>
            <w:tcW w:w="30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Assets at fair value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12,945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10,893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36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15,457</w:t>
            </w:r>
          </w:p>
        </w:tc>
      </w:tr>
      <w:tr>
        <w:trPr>
          <w:trHeight w:val="27"/>
        </w:trPr>
        <w:tc>
          <w:tcPr>
            <w:tcW w:w="30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r>
    </w:tbl>
    <w:p>
      <w:pPr>
        <w:spacing w:after="0" w:line="202" w:lineRule="exact"/>
        <w:rPr>
          <w:sz w:val="20"/>
          <w:szCs w:val="20"/>
          <w:color w:val="auto"/>
        </w:rPr>
      </w:pPr>
    </w:p>
    <w:p>
      <w:pPr>
        <w:ind w:left="480" w:right="140"/>
        <w:spacing w:after="0" w:line="342" w:lineRule="auto"/>
        <w:rPr>
          <w:sz w:val="20"/>
          <w:szCs w:val="20"/>
          <w:color w:val="auto"/>
        </w:rPr>
      </w:pPr>
      <w:r>
        <w:rPr>
          <w:rFonts w:ascii="Arial" w:cs="Arial" w:eastAsia="Arial" w:hAnsi="Arial"/>
          <w:sz w:val="16"/>
          <w:szCs w:val="16"/>
          <w:color w:val="auto"/>
        </w:rPr>
        <w:t>We maintain money market, mutual funds, bonds, and/or stocks in our non-qualified deferred compensation plan and our wholly owned licensed captive insurance company. These funds are valued at prices quoted in an active</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jc w:val="both"/>
        <w:ind w:left="480" w:right="20"/>
        <w:spacing w:after="0" w:line="264" w:lineRule="auto"/>
        <w:rPr>
          <w:sz w:val="20"/>
          <w:szCs w:val="20"/>
          <w:color w:val="auto"/>
        </w:rPr>
      </w:pPr>
      <w:r>
        <w:rPr>
          <w:rFonts w:ascii="Arial" w:cs="Arial" w:eastAsia="Arial" w:hAnsi="Arial"/>
          <w:sz w:val="18"/>
          <w:szCs w:val="18"/>
          <w:color w:val="auto"/>
        </w:rPr>
        <w:t xml:space="preserve">exchange market and are included in “Cash and Cash Equivalents”, “Investments”, “Restricted Cash”, and “Restricted Investments”. We have elected not to apply the fair value option under ASC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to any of our financial instruments except for those expressly required by U.S. GAAP.</w:t>
      </w:r>
    </w:p>
    <w:p>
      <w:pPr>
        <w:spacing w:after="0" w:line="181" w:lineRule="exact"/>
        <w:rPr>
          <w:sz w:val="20"/>
          <w:szCs w:val="20"/>
          <w:color w:val="auto"/>
        </w:rPr>
      </w:pPr>
    </w:p>
    <w:p>
      <w:pPr>
        <w:ind w:left="480"/>
        <w:spacing w:after="0"/>
        <w:rPr>
          <w:sz w:val="20"/>
          <w:szCs w:val="20"/>
          <w:color w:val="auto"/>
        </w:rPr>
      </w:pPr>
      <w:r>
        <w:rPr>
          <w:rFonts w:ascii="Arial" w:cs="Arial" w:eastAsia="Arial" w:hAnsi="Arial"/>
          <w:sz w:val="18"/>
          <w:szCs w:val="18"/>
          <w:color w:val="1F497D"/>
        </w:rPr>
        <w:t>We did not maintain any Level 3 assets or liabilities at March 31, 2018, or April 1, 2017.</w:t>
      </w:r>
    </w:p>
    <w:p>
      <w:pPr>
        <w:spacing w:after="0" w:line="225" w:lineRule="exact"/>
        <w:rPr>
          <w:sz w:val="20"/>
          <w:szCs w:val="20"/>
          <w:color w:val="auto"/>
        </w:rPr>
      </w:pPr>
    </w:p>
    <w:p>
      <w:pPr>
        <w:ind w:left="480" w:right="100"/>
        <w:spacing w:after="0" w:line="276" w:lineRule="auto"/>
        <w:rPr>
          <w:sz w:val="20"/>
          <w:szCs w:val="20"/>
          <w:color w:val="auto"/>
        </w:rPr>
      </w:pPr>
      <w:r>
        <w:rPr>
          <w:rFonts w:ascii="Arial" w:cs="Arial" w:eastAsia="Arial" w:hAnsi="Arial"/>
          <w:sz w:val="17"/>
          <w:szCs w:val="17"/>
          <w:color w:val="auto"/>
        </w:rPr>
        <w:t>In 2017, our wholly-owned captive, Ardellis Insurance Ltd. (“Ardellis”) transferred $4.1 million in fixed income securities from its Investment Account and purchased an additional $3.8 million in fixed income securities which are held in a newly formed collateral trust account in line with regulatory requirements in the State of Michigan to allow Ardellis to act as an admitted carrier in the State. These funds are intended to safeguard the insureds of the Michigan Branch of Ardellis. The funds are classified as “Restricted Investments”.</w:t>
      </w:r>
    </w:p>
    <w:p>
      <w:pPr>
        <w:spacing w:after="0" w:line="173" w:lineRule="exact"/>
        <w:rPr>
          <w:sz w:val="20"/>
          <w:szCs w:val="20"/>
          <w:color w:val="auto"/>
        </w:rPr>
      </w:pPr>
    </w:p>
    <w:p>
      <w:pPr>
        <w:jc w:val="both"/>
        <w:ind w:left="480" w:right="120"/>
        <w:spacing w:after="0" w:line="264" w:lineRule="auto"/>
        <w:rPr>
          <w:sz w:val="20"/>
          <w:szCs w:val="20"/>
          <w:color w:val="auto"/>
        </w:rPr>
      </w:pPr>
      <w:r>
        <w:rPr>
          <w:rFonts w:ascii="Arial" w:cs="Arial" w:eastAsia="Arial" w:hAnsi="Arial"/>
          <w:sz w:val="18"/>
          <w:szCs w:val="18"/>
          <w:color w:val="auto"/>
        </w:rPr>
        <w:t>In accordance with our investment policy, our wholly-owned captive, Ardellis Insurance Ltd. (“Ardellis”), maintains an investment portfolio, totaling $19.4 million as of March 31, 2018, consisting of domestic and international stocks, and fixed income bonds.</w:t>
      </w:r>
    </w:p>
    <w:p>
      <w:pPr>
        <w:spacing w:after="0" w:line="181" w:lineRule="exact"/>
        <w:rPr>
          <w:sz w:val="20"/>
          <w:szCs w:val="20"/>
          <w:color w:val="auto"/>
        </w:rPr>
      </w:pPr>
    </w:p>
    <w:p>
      <w:pPr>
        <w:ind w:left="480" w:right="480"/>
        <w:spacing w:after="0" w:line="277" w:lineRule="auto"/>
        <w:rPr>
          <w:sz w:val="20"/>
          <w:szCs w:val="20"/>
          <w:color w:val="auto"/>
        </w:rPr>
      </w:pPr>
      <w:r>
        <w:rPr>
          <w:rFonts w:ascii="Arial" w:cs="Arial" w:eastAsia="Arial" w:hAnsi="Arial"/>
          <w:sz w:val="18"/>
          <w:szCs w:val="18"/>
          <w:color w:val="auto"/>
        </w:rPr>
        <w:t>Ardellis’ available for sale investment portfolio, including funds held with the State of Michigan, consists of the following:</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178"/>
        </w:trPr>
        <w:tc>
          <w:tcPr>
            <w:tcW w:w="44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4"/>
          </w:tcPr>
          <w:p>
            <w:pPr>
              <w:ind w:left="100"/>
              <w:spacing w:after="0"/>
              <w:rPr>
                <w:sz w:val="20"/>
                <w:szCs w:val="20"/>
                <w:color w:val="auto"/>
              </w:rPr>
            </w:pPr>
            <w:r>
              <w:rPr>
                <w:rFonts w:ascii="Arial" w:cs="Arial" w:eastAsia="Arial" w:hAnsi="Arial"/>
                <w:sz w:val="14"/>
                <w:szCs w:val="14"/>
                <w:b w:val="1"/>
                <w:bCs w:val="1"/>
                <w:color w:val="auto"/>
              </w:rPr>
              <w:t>March 31,2018</w:t>
            </w: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44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ind w:right="214"/>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0"/>
                <w:szCs w:val="10"/>
                <w:color w:val="auto"/>
              </w:rPr>
            </w:pPr>
          </w:p>
        </w:tc>
        <w:tc>
          <w:tcPr>
            <w:tcW w:w="960" w:type="dxa"/>
            <w:vAlign w:val="bottom"/>
            <w:gridSpan w:val="3"/>
          </w:tcPr>
          <w:p>
            <w:pPr>
              <w:jc w:val="center"/>
              <w:ind w:right="140"/>
              <w:spacing w:after="0" w:line="126" w:lineRule="exact"/>
              <w:rPr>
                <w:sz w:val="20"/>
                <w:szCs w:val="20"/>
                <w:color w:val="auto"/>
              </w:rPr>
            </w:pPr>
            <w:r>
              <w:rPr>
                <w:rFonts w:ascii="Arial" w:cs="Arial" w:eastAsia="Arial" w:hAnsi="Arial"/>
                <w:sz w:val="14"/>
                <w:szCs w:val="14"/>
                <w:b w:val="1"/>
                <w:bCs w:val="1"/>
                <w:color w:val="auto"/>
                <w:w w:val="93"/>
              </w:rPr>
              <w:t>Unrealized</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78"/>
        </w:trPr>
        <w:tc>
          <w:tcPr>
            <w:tcW w:w="4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3"/>
              </w:rPr>
              <w:t>Gain/(Loss)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44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Fixed Income</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9,437</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9,270</w:t>
            </w: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Equity</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6,389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813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7,202</w:t>
            </w:r>
          </w:p>
        </w:tc>
        <w:tc>
          <w:tcPr>
            <w:tcW w:w="0" w:type="dxa"/>
            <w:vAlign w:val="bottom"/>
          </w:tcPr>
          <w:p>
            <w:pPr>
              <w:spacing w:after="0"/>
              <w:rPr>
                <w:sz w:val="1"/>
                <w:szCs w:val="1"/>
                <w:color w:val="auto"/>
              </w:rPr>
            </w:pPr>
          </w:p>
        </w:tc>
      </w:tr>
      <w:tr>
        <w:trPr>
          <w:trHeight w:val="236"/>
        </w:trPr>
        <w:tc>
          <w:tcPr>
            <w:tcW w:w="4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Mutual Funds</w:t>
            </w:r>
          </w:p>
        </w:tc>
        <w:tc>
          <w:tcPr>
            <w:tcW w:w="180" w:type="dxa"/>
            <w:vAlign w:val="bottom"/>
            <w:tcBorders>
              <w:bottom w:val="single" w:sz="8" w:color="auto"/>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2,947</w:t>
            </w:r>
          </w:p>
        </w:tc>
        <w:tc>
          <w:tcPr>
            <w:tcW w:w="1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2,913</w:t>
            </w:r>
          </w:p>
        </w:tc>
        <w:tc>
          <w:tcPr>
            <w:tcW w:w="0" w:type="dxa"/>
            <w:vAlign w:val="bottom"/>
          </w:tcPr>
          <w:p>
            <w:pPr>
              <w:spacing w:after="0"/>
              <w:rPr>
                <w:sz w:val="1"/>
                <w:szCs w:val="1"/>
                <w:color w:val="auto"/>
              </w:rPr>
            </w:pPr>
          </w:p>
        </w:tc>
      </w:tr>
      <w:tr>
        <w:trPr>
          <w:trHeight w:val="210"/>
        </w:trPr>
        <w:tc>
          <w:tcPr>
            <w:tcW w:w="4420" w:type="dxa"/>
            <w:vAlign w:val="bottom"/>
          </w:tcPr>
          <w:p>
            <w:pPr>
              <w:spacing w:after="0" w:line="203" w:lineRule="exact"/>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18,773</w:t>
            </w:r>
          </w:p>
        </w:tc>
        <w:tc>
          <w:tcPr>
            <w:tcW w:w="180" w:type="dxa"/>
            <w:vAlign w:val="bottom"/>
          </w:tcPr>
          <w:p>
            <w:pPr>
              <w:spacing w:after="0"/>
              <w:rPr>
                <w:sz w:val="18"/>
                <w:szCs w:val="18"/>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612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19,385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80" w:right="320"/>
        <w:spacing w:after="0" w:line="273" w:lineRule="auto"/>
        <w:rPr>
          <w:sz w:val="20"/>
          <w:szCs w:val="20"/>
          <w:color w:val="auto"/>
        </w:rPr>
      </w:pPr>
      <w:r>
        <w:rPr>
          <w:rFonts w:ascii="Arial" w:cs="Arial" w:eastAsia="Arial" w:hAnsi="Arial"/>
          <w:sz w:val="17"/>
          <w:szCs w:val="17"/>
          <w:color w:val="auto"/>
        </w:rPr>
        <w:t>Our fixed income investments consist of a blend of US Government and Agency bonds and investment grade corporate bonds with varying maturities. Our equity investments consist of small, mid, and large cap growth and value funds, as well as international equity. The net pre-tax effected unrealized gain was $0.6 million. Carrying amounts above are recorded in the investments and restricted investments line items within the balance sheet as of March 31, 2018. During the first three months of 2018, Ardellis’ investments reported a net realized gain of $256 thousand, which was recorded in interest income on the statement of earnings.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500" w:hanging="497"/>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29" w:lineRule="exact"/>
        <w:rPr>
          <w:rFonts w:ascii="Arial" w:cs="Arial" w:eastAsia="Arial" w:hAnsi="Arial"/>
          <w:sz w:val="18"/>
          <w:szCs w:val="18"/>
          <w:b w:val="1"/>
          <w:bCs w:val="1"/>
          <w:color w:val="auto"/>
        </w:rPr>
      </w:pPr>
    </w:p>
    <w:p>
      <w:pPr>
        <w:ind w:left="48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On May 28, 2014, the FASB issued ASU No. 2014-09 (Accounting Standard Codification 606), Revenue from Contracts with Customers. Topic 606 supersedes the revenue recognition requirements in Accounting Standards Codification Topic 605, Revenue Recognition, and requires the recognition of revenue when promised goods or services are transferred to customers in an amount that reflects the considerations to which the entity expects to be entitled to in exchange for those goods or services. The ASU requires additional disclosure about the nature, amount, timing and uncertainty of revenue and cash flows arising from customer contracts, including significant judgments and changes in judgments. The Company has adopted the requirements of the new standard as of January 1, 2018, and utilized the modified retrospective method of transition which was applied to all contracts.</w:t>
      </w:r>
    </w:p>
    <w:p>
      <w:pPr>
        <w:spacing w:after="0" w:line="178" w:lineRule="exact"/>
        <w:rPr>
          <w:rFonts w:ascii="Arial" w:cs="Arial" w:eastAsia="Arial" w:hAnsi="Arial"/>
          <w:sz w:val="18"/>
          <w:szCs w:val="18"/>
          <w:b w:val="1"/>
          <w:bCs w:val="1"/>
          <w:color w:val="auto"/>
        </w:rPr>
      </w:pPr>
    </w:p>
    <w:p>
      <w:pPr>
        <w:jc w:val="both"/>
        <w:ind w:left="48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completed the new revenue recognition standard assessment and determined that there was no material impact to our consolidated financial statements, aside from additional required disclosures, thus no needed adjustment to the opening retained earnings for the annual reporting period.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left="480" w:right="100"/>
        <w:spacing w:after="0" w:line="274" w:lineRule="auto"/>
        <w:rPr>
          <w:sz w:val="20"/>
          <w:szCs w:val="20"/>
          <w:color w:val="auto"/>
        </w:rPr>
      </w:pPr>
      <w:r>
        <w:rPr>
          <w:rFonts w:ascii="Arial" w:cs="Arial" w:eastAsia="Arial" w:hAnsi="Arial"/>
          <w:sz w:val="17"/>
          <w:szCs w:val="17"/>
          <w:color w:val="auto"/>
        </w:rPr>
        <w:t>Within the three markets (retail, industrial, and construction) that the Company operates, there are a variety of written and oral contracts that are utilized to generate revenue from the sale of wood, wood composite and other</w:t>
      </w:r>
    </w:p>
    <w:p>
      <w:pPr>
        <w:ind w:left="480" w:right="120"/>
        <w:spacing w:after="0" w:line="270" w:lineRule="auto"/>
        <w:rPr>
          <w:sz w:val="20"/>
          <w:szCs w:val="20"/>
          <w:color w:val="auto"/>
        </w:rPr>
      </w:pPr>
      <w:r>
        <w:rPr>
          <w:rFonts w:ascii="Arial" w:cs="Arial" w:eastAsia="Arial" w:hAnsi="Arial"/>
          <w:sz w:val="17"/>
          <w:szCs w:val="17"/>
          <w:color w:val="auto"/>
        </w:rPr>
        <w:t>products. The transaction price is stated at the purchase order level, which includes shipping and/or freight costs and any applicable governmental authority taxes. The majority of our contracts have a single performance obligation concentrated around the delivery of goods to the carrier, Free On Board (FOB) shipping point. Therefore, revenue is recognized when this performance obligation is satisfied. Generally, title and control passes at the time of shipment. In certain circumstances, the customer takes title when the shipment arrives at the destination. However, our shipping process is typically completed the same day.</w:t>
      </w:r>
    </w:p>
    <w:p>
      <w:pPr>
        <w:spacing w:after="0" w:line="179" w:lineRule="exact"/>
        <w:rPr>
          <w:sz w:val="20"/>
          <w:szCs w:val="20"/>
          <w:color w:val="auto"/>
        </w:rPr>
      </w:pPr>
    </w:p>
    <w:p>
      <w:pPr>
        <w:ind w:left="480" w:right="220"/>
        <w:spacing w:after="0" w:line="259" w:lineRule="auto"/>
        <w:rPr>
          <w:sz w:val="20"/>
          <w:szCs w:val="20"/>
          <w:color w:val="auto"/>
        </w:rPr>
      </w:pPr>
      <w:r>
        <w:rPr>
          <w:rFonts w:ascii="Arial" w:cs="Arial" w:eastAsia="Arial" w:hAnsi="Arial"/>
          <w:sz w:val="18"/>
          <w:szCs w:val="18"/>
          <w:color w:val="auto"/>
        </w:rPr>
        <w:t>Certain customer products that we provide require installation by the Company or a 3</w:t>
      </w:r>
      <w:r>
        <w:rPr>
          <w:rFonts w:ascii="Arial" w:cs="Arial" w:eastAsia="Arial" w:hAnsi="Arial"/>
          <w:sz w:val="8"/>
          <w:szCs w:val="8"/>
          <w:color w:val="auto"/>
        </w:rPr>
        <w:t>rd</w:t>
      </w:r>
      <w:r>
        <w:rPr>
          <w:rFonts w:ascii="Arial" w:cs="Arial" w:eastAsia="Arial" w:hAnsi="Arial"/>
          <w:sz w:val="18"/>
          <w:szCs w:val="18"/>
          <w:color w:val="auto"/>
        </w:rPr>
        <w:t xml:space="preserve"> party. Installation revenue is recognized upon completion, which is typically 2-3 days after receipt. If it is determined to utilize a 3</w:t>
      </w:r>
      <w:r>
        <w:rPr>
          <w:rFonts w:ascii="Arial" w:cs="Arial" w:eastAsia="Arial" w:hAnsi="Arial"/>
          <w:sz w:val="8"/>
          <w:szCs w:val="8"/>
          <w:color w:val="auto"/>
        </w:rPr>
        <w:t>rd</w:t>
      </w:r>
      <w:r>
        <w:rPr>
          <w:rFonts w:ascii="Arial" w:cs="Arial" w:eastAsia="Arial" w:hAnsi="Arial"/>
          <w:sz w:val="18"/>
          <w:szCs w:val="18"/>
          <w:color w:val="auto"/>
        </w:rPr>
        <w:t xml:space="preserve"> party for installation, the party will act as an agent to the Company until completion of the installation. Installation revenue represents an immaterial share of the Company’s total sales.</w:t>
      </w:r>
    </w:p>
    <w:p>
      <w:pPr>
        <w:spacing w:after="0" w:line="187" w:lineRule="exact"/>
        <w:rPr>
          <w:sz w:val="20"/>
          <w:szCs w:val="20"/>
          <w:color w:val="auto"/>
        </w:rPr>
      </w:pPr>
    </w:p>
    <w:p>
      <w:pPr>
        <w:ind w:left="480" w:right="60"/>
        <w:spacing w:after="0" w:line="255" w:lineRule="auto"/>
        <w:rPr>
          <w:sz w:val="20"/>
          <w:szCs w:val="20"/>
          <w:color w:val="auto"/>
        </w:rPr>
      </w:pPr>
      <w:r>
        <w:rPr>
          <w:rFonts w:ascii="Arial" w:cs="Arial" w:eastAsia="Arial" w:hAnsi="Arial"/>
          <w:sz w:val="18"/>
          <w:szCs w:val="18"/>
          <w:color w:val="auto"/>
        </w:rPr>
        <w:t>The Company utilizes rebates, credits, discounts and/or cash-based incentives with certain customers which are accounted for as variable consideration. We estimate these amounts based on the expected amount to be provided to customers and reduce revenues recognized. We believe that there will not be significant changes to our estimates of variable consideration. The allocation of these costs are applied at the invoice level and recognized in conjunction with revenue. Additionally, the volume returns and refunds are estimated on a historical and expected basis which is a reduction of revenue recognized.</w:t>
      </w:r>
    </w:p>
    <w:p>
      <w:pPr>
        <w:spacing w:after="0" w:line="193" w:lineRule="exact"/>
        <w:rPr>
          <w:sz w:val="20"/>
          <w:szCs w:val="20"/>
          <w:color w:val="auto"/>
        </w:rPr>
      </w:pPr>
    </w:p>
    <w:p>
      <w:pPr>
        <w:ind w:left="480" w:right="40"/>
        <w:spacing w:after="0" w:line="289" w:lineRule="auto"/>
        <w:rPr>
          <w:sz w:val="20"/>
          <w:szCs w:val="20"/>
          <w:color w:val="auto"/>
        </w:rPr>
      </w:pPr>
      <w:r>
        <w:rPr>
          <w:rFonts w:ascii="Arial" w:cs="Arial" w:eastAsia="Arial" w:hAnsi="Arial"/>
          <w:sz w:val="16"/>
          <w:szCs w:val="16"/>
          <w:color w:val="auto"/>
        </w:rPr>
        <w:t>Earnings on construction contracts are reflected in operations using over time accounting, under either cost to cost or units of delivery methods, depending on the nature of the business at individual operations, which is in accordance with ASC 606 as revenue is recognized when certain performance obligations are performed. Under over time accounting using the cost to cost method, revenues and related earnings on construction contracts are measured by the relationships of actual costs incurred related to the total estimated costs. Under over time accounting using the units of delivery method, revenues and related earnings on construction contracts are measured by the relationships of actual units produced related to the total number of units. Revisions in earnings estimates on the construction contracts are recorded in the accounting period in which the basis for such revisions becomes known. Projected losses on individual contracts are charged to operations in their entirety when such losses become apparent.</w:t>
      </w:r>
    </w:p>
    <w:p>
      <w:pPr>
        <w:spacing w:after="0" w:line="167" w:lineRule="exact"/>
        <w:rPr>
          <w:sz w:val="20"/>
          <w:szCs w:val="20"/>
          <w:color w:val="auto"/>
        </w:rPr>
      </w:pPr>
    </w:p>
    <w:p>
      <w:pPr>
        <w:ind w:left="480" w:right="40"/>
        <w:spacing w:after="0" w:line="259" w:lineRule="auto"/>
        <w:rPr>
          <w:sz w:val="20"/>
          <w:szCs w:val="20"/>
          <w:color w:val="auto"/>
        </w:rPr>
      </w:pPr>
      <w:r>
        <w:rPr>
          <w:rFonts w:ascii="Arial" w:cs="Arial" w:eastAsia="Arial" w:hAnsi="Arial"/>
          <w:sz w:val="18"/>
          <w:szCs w:val="18"/>
          <w:color w:val="auto"/>
        </w:rPr>
        <w:t>Our construction contracts are generally entered into with a fixed price and completion of the projects can range from 6 to 18 months in duration. Therefore, our operating results are impacted by, among many other things, labor rates and commodity costs. During the year, we update our estimated costs to complete our projects using current labor and commodity costs and recognize losses to the extent that they exist.</w:t>
      </w:r>
    </w:p>
    <w:p>
      <w:pPr>
        <w:spacing w:after="0" w:line="187"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our gross revenues disaggregated by revenue source: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2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208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1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3280" w:type="dxa"/>
            <w:vAlign w:val="bottom"/>
            <w:gridSpan w:val="2"/>
            <w:vMerge w:val="continue"/>
          </w:tcPr>
          <w:p>
            <w:pPr>
              <w:spacing w:after="0"/>
              <w:rPr>
                <w:sz w:val="10"/>
                <w:szCs w:val="10"/>
                <w:color w:val="auto"/>
              </w:rPr>
            </w:pPr>
          </w:p>
        </w:tc>
        <w:tc>
          <w:tcPr>
            <w:tcW w:w="10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60" w:type="dxa"/>
            <w:vAlign w:val="bottom"/>
          </w:tcPr>
          <w:p>
            <w:pPr>
              <w:jc w:val="right"/>
              <w:ind w:right="357"/>
              <w:spacing w:after="0" w:line="126" w:lineRule="exact"/>
              <w:rPr>
                <w:sz w:val="20"/>
                <w:szCs w:val="20"/>
                <w:color w:val="auto"/>
              </w:rPr>
            </w:pPr>
            <w:r>
              <w:rPr>
                <w:rFonts w:ascii="Arial" w:cs="Arial" w:eastAsia="Arial" w:hAnsi="Arial"/>
                <w:sz w:val="14"/>
                <w:szCs w:val="14"/>
                <w:b w:val="1"/>
                <w:bCs w:val="1"/>
                <w:color w:val="auto"/>
              </w:rPr>
              <w:t>March 31,</w:t>
            </w:r>
          </w:p>
        </w:tc>
        <w:tc>
          <w:tcPr>
            <w:tcW w:w="3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60" w:type="dxa"/>
            <w:vAlign w:val="bottom"/>
            <w:gridSpan w:val="2"/>
          </w:tcPr>
          <w:p>
            <w:pPr>
              <w:ind w:left="180"/>
              <w:spacing w:after="0" w:line="126" w:lineRule="exact"/>
              <w:rPr>
                <w:sz w:val="20"/>
                <w:szCs w:val="20"/>
                <w:color w:val="auto"/>
              </w:rPr>
            </w:pPr>
            <w:r>
              <w:rPr>
                <w:rFonts w:ascii="Arial" w:cs="Arial" w:eastAsia="Arial" w:hAnsi="Arial"/>
                <w:sz w:val="14"/>
                <w:szCs w:val="14"/>
                <w:b w:val="1"/>
                <w:bCs w:val="1"/>
                <w:color w:val="auto"/>
              </w:rPr>
              <w:t>April 1,</w:t>
            </w: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Market Classification</w:t>
            </w:r>
          </w:p>
        </w:tc>
        <w:tc>
          <w:tcPr>
            <w:tcW w:w="19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360" w:type="dxa"/>
            <w:vAlign w:val="bottom"/>
          </w:tcPr>
          <w:p>
            <w:pPr>
              <w:spacing w:after="0"/>
              <w:rPr>
                <w:sz w:val="16"/>
                <w:szCs w:val="16"/>
                <w:color w:val="auto"/>
              </w:rPr>
            </w:pPr>
          </w:p>
        </w:tc>
        <w:tc>
          <w:tcPr>
            <w:tcW w:w="11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3"/>
        </w:trPr>
        <w:tc>
          <w:tcPr>
            <w:tcW w:w="32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FOB Shipping Point Revenue</w:t>
            </w:r>
          </w:p>
        </w:tc>
        <w:tc>
          <w:tcPr>
            <w:tcW w:w="10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981,691</w:t>
            </w:r>
          </w:p>
        </w:tc>
        <w:tc>
          <w:tcPr>
            <w:tcW w:w="36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826,876</w:t>
            </w:r>
          </w:p>
        </w:tc>
        <w:tc>
          <w:tcPr>
            <w:tcW w:w="360" w:type="dxa"/>
            <w:vAlign w:val="bottom"/>
            <w:tcBorders>
              <w:top w:val="single" w:sz="8" w:color="CCEEFF"/>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18.72%</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Construction Contract Revenue</w:t>
            </w:r>
          </w:p>
        </w:tc>
        <w:tc>
          <w:tcPr>
            <w:tcW w:w="10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29,976</w:t>
            </w:r>
          </w:p>
        </w:tc>
        <w:tc>
          <w:tcPr>
            <w:tcW w:w="3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31,981</w:t>
            </w:r>
          </w:p>
        </w:tc>
        <w:tc>
          <w:tcPr>
            <w:tcW w:w="360" w:type="dxa"/>
            <w:vAlign w:val="bottom"/>
            <w:tcBorders>
              <w:bottom w:val="single" w:sz="8" w:color="CCEEFF"/>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w:t>
            </w:r>
          </w:p>
        </w:tc>
        <w:tc>
          <w:tcPr>
            <w:tcW w:w="0" w:type="dxa"/>
            <w:vAlign w:val="bottom"/>
          </w:tcPr>
          <w:p>
            <w:pPr>
              <w:spacing w:after="0"/>
              <w:rPr>
                <w:sz w:val="1"/>
                <w:szCs w:val="1"/>
                <w:color w:val="auto"/>
              </w:rPr>
            </w:pPr>
          </w:p>
        </w:tc>
      </w:tr>
      <w:tr>
        <w:trPr>
          <w:trHeight w:val="223"/>
        </w:trPr>
        <w:tc>
          <w:tcPr>
            <w:tcW w:w="32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Sales</w:t>
            </w:r>
          </w:p>
        </w:tc>
        <w:tc>
          <w:tcPr>
            <w:tcW w:w="10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1,011,667</w:t>
            </w:r>
          </w:p>
        </w:tc>
        <w:tc>
          <w:tcPr>
            <w:tcW w:w="36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858,857</w:t>
            </w:r>
          </w:p>
        </w:tc>
        <w:tc>
          <w:tcPr>
            <w:tcW w:w="36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80" w:right="460"/>
        <w:spacing w:after="0" w:line="308" w:lineRule="auto"/>
        <w:rPr>
          <w:sz w:val="20"/>
          <w:szCs w:val="20"/>
          <w:color w:val="auto"/>
        </w:rPr>
      </w:pPr>
      <w:r>
        <w:rPr>
          <w:rFonts w:ascii="Arial" w:cs="Arial" w:eastAsia="Arial" w:hAnsi="Arial"/>
          <w:sz w:val="17"/>
          <w:szCs w:val="17"/>
          <w:color w:val="auto"/>
        </w:rPr>
        <w:t>The North and West segments comprise the construction contract revenue above, $20.6 million and $9.4 million, respectively. Construction contract revenue is primarily made up of site-built and framing customers.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left="480" w:right="460"/>
        <w:spacing w:after="0" w:line="277" w:lineRule="auto"/>
        <w:rPr>
          <w:sz w:val="20"/>
          <w:szCs w:val="20"/>
          <w:color w:val="auto"/>
        </w:rPr>
      </w:pPr>
      <w:r>
        <w:rPr>
          <w:rFonts w:ascii="Arial" w:cs="Arial" w:eastAsia="Arial" w:hAnsi="Arial"/>
          <w:sz w:val="18"/>
          <w:szCs w:val="18"/>
          <w:color w:val="auto"/>
        </w:rPr>
        <w:t>The following table presents the balances of over time accounting accounts which are included in “Other current assets” and “Accrued liabilities: Other”, respectively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March 31,</w:t>
            </w:r>
          </w:p>
        </w:tc>
        <w:tc>
          <w:tcPr>
            <w:tcW w:w="1040" w:type="dxa"/>
            <w:vAlign w:val="bottom"/>
            <w:gridSpan w:val="3"/>
          </w:tcPr>
          <w:p>
            <w:pPr>
              <w:ind w:left="20"/>
              <w:spacing w:after="0"/>
              <w:rPr>
                <w:sz w:val="20"/>
                <w:szCs w:val="20"/>
                <w:color w:val="auto"/>
              </w:rPr>
            </w:pPr>
            <w:r>
              <w:rPr>
                <w:rFonts w:ascii="Arial" w:cs="Arial" w:eastAsia="Arial" w:hAnsi="Arial"/>
                <w:sz w:val="14"/>
                <w:szCs w:val="14"/>
                <w:b w:val="1"/>
                <w:bCs w:val="1"/>
                <w:color w:val="auto"/>
              </w:rPr>
              <w:t>December 30,</w:t>
            </w:r>
          </w:p>
        </w:tc>
        <w:tc>
          <w:tcPr>
            <w:tcW w:w="140" w:type="dxa"/>
            <w:vAlign w:val="bottom"/>
          </w:tcPr>
          <w:p>
            <w:pPr>
              <w:spacing w:after="0"/>
              <w:rPr>
                <w:sz w:val="14"/>
                <w:szCs w:val="14"/>
                <w:color w:val="auto"/>
              </w:rPr>
            </w:pPr>
          </w:p>
        </w:tc>
        <w:tc>
          <w:tcPr>
            <w:tcW w:w="90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1,</w:t>
            </w:r>
          </w:p>
        </w:tc>
      </w:tr>
      <w:tr>
        <w:trPr>
          <w:trHeight w:val="178"/>
        </w:trPr>
        <w:tc>
          <w:tcPr>
            <w:tcW w:w="598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5"/>
                <w:szCs w:val="15"/>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Cost and Earnings in Excess of Billings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3,063</w:t>
            </w:r>
          </w:p>
        </w:tc>
        <w:tc>
          <w:tcPr>
            <w:tcW w:w="200" w:type="dxa"/>
            <w:vAlign w:val="bottom"/>
            <w:shd w:val="clear" w:color="auto" w:fill="CCEEFF"/>
          </w:tcPr>
          <w:p>
            <w:pPr>
              <w:spacing w:after="0"/>
              <w:rPr>
                <w:sz w:val="18"/>
                <w:szCs w:val="18"/>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Billings in Excess of Cost and Earnings</w:t>
            </w: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3,386</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4,435</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4,352</w:t>
            </w:r>
          </w:p>
        </w:tc>
        <w:tc>
          <w:tcPr>
            <w:tcW w:w="200" w:type="dxa"/>
            <w:vAlign w:val="bottom"/>
          </w:tcPr>
          <w:p>
            <w:pPr>
              <w:spacing w:after="0"/>
              <w:rPr>
                <w:sz w:val="20"/>
                <w:szCs w:val="20"/>
                <w:color w:val="auto"/>
              </w:rPr>
            </w:pPr>
          </w:p>
        </w:tc>
      </w:tr>
    </w:tbl>
    <w:p>
      <w:pPr>
        <w:spacing w:after="0" w:line="200" w:lineRule="exact"/>
        <w:rPr>
          <w:sz w:val="20"/>
          <w:szCs w:val="20"/>
          <w:color w:val="auto"/>
        </w:rPr>
      </w:pPr>
    </w:p>
    <w:p>
      <w:pPr>
        <w:spacing w:after="0" w:line="213" w:lineRule="exact"/>
        <w:rPr>
          <w:sz w:val="20"/>
          <w:szCs w:val="20"/>
          <w:color w:val="auto"/>
        </w:rPr>
      </w:pPr>
    </w:p>
    <w:p>
      <w:pPr>
        <w:ind w:left="500" w:hanging="497"/>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rFonts w:ascii="Arial" w:cs="Arial" w:eastAsia="Arial" w:hAnsi="Arial"/>
          <w:sz w:val="18"/>
          <w:szCs w:val="18"/>
          <w:b w:val="1"/>
          <w:bCs w:val="1"/>
          <w:color w:val="auto"/>
        </w:rPr>
      </w:pPr>
    </w:p>
    <w:p>
      <w:pPr>
        <w:ind w:left="480"/>
        <w:spacing w:after="0"/>
        <w:rPr>
          <w:rFonts w:ascii="Arial" w:cs="Arial" w:eastAsia="Arial" w:hAnsi="Arial"/>
          <w:sz w:val="18"/>
          <w:szCs w:val="18"/>
          <w:b w:val="1"/>
          <w:bCs w:val="1"/>
          <w:color w:val="auto"/>
        </w:rPr>
      </w:pPr>
      <w:r>
        <w:rPr>
          <w:rFonts w:ascii="Arial" w:cs="Arial" w:eastAsia="Arial" w:hAnsi="Arial"/>
          <w:sz w:val="18"/>
          <w:szCs w:val="18"/>
          <w:color w:val="auto"/>
        </w:rPr>
        <w:t>The computation of earnings per share (“EPS”) is as follows (in thousands):</w:t>
      </w:r>
    </w:p>
    <w:p>
      <w:pPr>
        <w:spacing w:after="0" w:line="239"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Three Months Ended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33"/>
        </w:trPr>
        <w:tc>
          <w:tcPr>
            <w:tcW w:w="65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20" w:type="dxa"/>
            <w:vAlign w:val="bottom"/>
            <w:tcBorders>
              <w:top w:val="single" w:sz="8" w:color="auto"/>
            </w:tcBorders>
            <w:gridSpan w:val="2"/>
          </w:tcPr>
          <w:p>
            <w:pPr>
              <w:ind w:left="80"/>
              <w:spacing w:after="0" w:line="133" w:lineRule="exact"/>
              <w:rPr>
                <w:sz w:val="20"/>
                <w:szCs w:val="20"/>
                <w:color w:val="auto"/>
              </w:rPr>
            </w:pPr>
            <w:r>
              <w:rPr>
                <w:rFonts w:ascii="Arial" w:cs="Arial" w:eastAsia="Arial" w:hAnsi="Arial"/>
                <w:sz w:val="14"/>
                <w:szCs w:val="14"/>
                <w:b w:val="1"/>
                <w:bCs w:val="1"/>
                <w:color w:val="auto"/>
              </w:rPr>
              <w:t>March 31,</w:t>
            </w:r>
          </w:p>
        </w:tc>
        <w:tc>
          <w:tcPr>
            <w:tcW w:w="100" w:type="dxa"/>
            <w:vAlign w:val="bottom"/>
            <w:tcBorders>
              <w:top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tcPr>
          <w:p>
            <w:pPr>
              <w:jc w:val="right"/>
              <w:ind w:right="213"/>
              <w:spacing w:after="0" w:line="133" w:lineRule="exact"/>
              <w:rPr>
                <w:sz w:val="20"/>
                <w:szCs w:val="20"/>
                <w:color w:val="auto"/>
              </w:rPr>
            </w:pPr>
            <w:r>
              <w:rPr>
                <w:rFonts w:ascii="Arial" w:cs="Arial" w:eastAsia="Arial" w:hAnsi="Arial"/>
                <w:sz w:val="14"/>
                <w:szCs w:val="14"/>
                <w:b w:val="1"/>
                <w:bCs w:val="1"/>
                <w:color w:val="auto"/>
              </w:rPr>
              <w:t>April 1,</w:t>
            </w:r>
          </w:p>
        </w:tc>
        <w:tc>
          <w:tcPr>
            <w:tcW w:w="200" w:type="dxa"/>
            <w:vAlign w:val="bottom"/>
          </w:tcPr>
          <w:p>
            <w:pPr>
              <w:spacing w:after="0"/>
              <w:rPr>
                <w:sz w:val="11"/>
                <w:szCs w:val="11"/>
                <w:color w:val="auto"/>
              </w:rPr>
            </w:pPr>
          </w:p>
        </w:tc>
      </w:tr>
      <w:tr>
        <w:trPr>
          <w:trHeight w:val="178"/>
        </w:trPr>
        <w:tc>
          <w:tcPr>
            <w:tcW w:w="65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5"/>
                <w:szCs w:val="15"/>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Arial" w:cs="Arial" w:eastAsia="Arial" w:hAnsi="Arial"/>
                <w:sz w:val="18"/>
                <w:szCs w:val="18"/>
                <w:color w:val="auto"/>
              </w:rPr>
              <w:t>Net earnings attributable to controlling interest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32,833</w:t>
            </w:r>
          </w:p>
        </w:tc>
        <w:tc>
          <w:tcPr>
            <w:tcW w:w="100" w:type="dxa"/>
            <w:vAlign w:val="bottom"/>
          </w:tcPr>
          <w:p>
            <w:pPr>
              <w:spacing w:after="0"/>
              <w:rPr>
                <w:sz w:val="18"/>
                <w:szCs w:val="18"/>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21,062</w:t>
            </w:r>
          </w:p>
        </w:tc>
        <w:tc>
          <w:tcPr>
            <w:tcW w:w="200" w:type="dxa"/>
            <w:vAlign w:val="bottom"/>
          </w:tcPr>
          <w:p>
            <w:pPr>
              <w:spacing w:after="0"/>
              <w:rPr>
                <w:sz w:val="18"/>
                <w:szCs w:val="18"/>
                <w:color w:val="auto"/>
              </w:rPr>
            </w:pPr>
          </w:p>
        </w:tc>
      </w:tr>
      <w:tr>
        <w:trPr>
          <w:trHeight w:val="23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 for earnings allocated to non-vested restricted common stock</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(362)</w:t>
            </w:r>
          </w:p>
        </w:tc>
      </w:tr>
      <w:tr>
        <w:trPr>
          <w:trHeight w:val="210"/>
        </w:trPr>
        <w:tc>
          <w:tcPr>
            <w:tcW w:w="6520" w:type="dxa"/>
            <w:vAlign w:val="bottom"/>
            <w:tcBorders>
              <w:top w:val="single" w:sz="8" w:color="CCEEFF"/>
              <w:bottom w:val="single" w:sz="8" w:color="CCEEFF"/>
            </w:tcBorders>
          </w:tcPr>
          <w:p>
            <w:pPr>
              <w:ind w:left="120"/>
              <w:spacing w:after="0" w:line="203" w:lineRule="exact"/>
              <w:rPr>
                <w:sz w:val="20"/>
                <w:szCs w:val="20"/>
                <w:color w:val="auto"/>
              </w:rPr>
            </w:pPr>
            <w:r>
              <w:rPr>
                <w:rFonts w:ascii="Arial" w:cs="Arial" w:eastAsia="Arial" w:hAnsi="Arial"/>
                <w:sz w:val="18"/>
                <w:szCs w:val="18"/>
                <w:color w:val="auto"/>
              </w:rPr>
              <w:t>Net earnings for calculating EPS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32,109</w:t>
            </w:r>
          </w:p>
        </w:tc>
        <w:tc>
          <w:tcPr>
            <w:tcW w:w="100" w:type="dxa"/>
            <w:vAlign w:val="bottom"/>
            <w:tcBorders>
              <w:top w:val="single" w:sz="8" w:color="CCEEFF"/>
              <w:bottom w:val="single" w:sz="8" w:color="CCEEFF"/>
            </w:tcBorders>
          </w:tcPr>
          <w:p>
            <w:pPr>
              <w:spacing w:after="0"/>
              <w:rPr>
                <w:sz w:val="18"/>
                <w:szCs w:val="18"/>
                <w:color w:val="auto"/>
              </w:rPr>
            </w:pPr>
          </w:p>
        </w:tc>
        <w:tc>
          <w:tcPr>
            <w:tcW w:w="100" w:type="dxa"/>
            <w:vAlign w:val="bottom"/>
            <w:tcBorders>
              <w:top w:val="single" w:sz="8" w:color="CCEEFF"/>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20,700</w:t>
            </w:r>
          </w:p>
        </w:tc>
        <w:tc>
          <w:tcPr>
            <w:tcW w:w="200" w:type="dxa"/>
            <w:vAlign w:val="bottom"/>
            <w:tcBorders>
              <w:top w:val="single" w:sz="8" w:color="CCEEFF"/>
              <w:bottom w:val="single" w:sz="8" w:color="CCEEFF"/>
            </w:tcBorders>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Arial" w:cs="Arial" w:eastAsia="Arial" w:hAnsi="Arial"/>
                <w:sz w:val="18"/>
                <w:szCs w:val="18"/>
                <w:color w:val="auto"/>
              </w:rPr>
              <w:t>Weighted average shares outstanding</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61,636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61,410</w:t>
            </w:r>
          </w:p>
        </w:tc>
        <w:tc>
          <w:tcPr>
            <w:tcW w:w="200" w:type="dxa"/>
            <w:vAlign w:val="bottom"/>
          </w:tcPr>
          <w:p>
            <w:pPr>
              <w:spacing w:after="0"/>
              <w:rPr>
                <w:sz w:val="18"/>
                <w:szCs w:val="18"/>
                <w:color w:val="auto"/>
              </w:rPr>
            </w:pPr>
          </w:p>
        </w:tc>
      </w:tr>
      <w:tr>
        <w:trPr>
          <w:trHeight w:val="23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Adjustment for non-vested restricted common stock</w:t>
            </w:r>
          </w:p>
        </w:tc>
        <w:tc>
          <w:tcPr>
            <w:tcW w:w="14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(1,358)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(1,053)</w:t>
            </w:r>
          </w:p>
        </w:tc>
      </w:tr>
      <w:tr>
        <w:trPr>
          <w:trHeight w:val="203"/>
        </w:trPr>
        <w:tc>
          <w:tcPr>
            <w:tcW w:w="6520" w:type="dxa"/>
            <w:vAlign w:val="bottom"/>
            <w:tcBorders>
              <w:top w:val="single" w:sz="8" w:color="CCEEFF"/>
            </w:tcBorders>
          </w:tcPr>
          <w:p>
            <w:pPr>
              <w:ind w:left="120"/>
              <w:spacing w:after="0" w:line="203" w:lineRule="exact"/>
              <w:rPr>
                <w:sz w:val="20"/>
                <w:szCs w:val="20"/>
                <w:color w:val="auto"/>
              </w:rPr>
            </w:pPr>
            <w:r>
              <w:rPr>
                <w:rFonts w:ascii="Arial" w:cs="Arial" w:eastAsia="Arial" w:hAnsi="Arial"/>
                <w:sz w:val="18"/>
                <w:szCs w:val="18"/>
                <w:color w:val="auto"/>
              </w:rPr>
              <w:t>Shares for calculating basic EPS</w:t>
            </w:r>
          </w:p>
        </w:tc>
        <w:tc>
          <w:tcPr>
            <w:tcW w:w="14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60,278</w:t>
            </w:r>
          </w:p>
        </w:tc>
        <w:tc>
          <w:tcPr>
            <w:tcW w:w="10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60,357</w:t>
            </w:r>
          </w:p>
        </w:tc>
        <w:tc>
          <w:tcPr>
            <w:tcW w:w="200" w:type="dxa"/>
            <w:vAlign w:val="bottom"/>
            <w:tcBorders>
              <w:top w:val="single" w:sz="8" w:color="CCEEFF"/>
            </w:tcBorders>
          </w:tcPr>
          <w:p>
            <w:pPr>
              <w:spacing w:after="0"/>
              <w:rPr>
                <w:sz w:val="17"/>
                <w:szCs w:val="17"/>
                <w:color w:val="auto"/>
              </w:rPr>
            </w:pPr>
          </w:p>
        </w:tc>
      </w:tr>
      <w:tr>
        <w:trPr>
          <w:trHeight w:val="236"/>
        </w:trPr>
        <w:tc>
          <w:tcPr>
            <w:tcW w:w="65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Effect of dilutive restricted common stock</w:t>
            </w:r>
          </w:p>
        </w:tc>
        <w:tc>
          <w:tcPr>
            <w:tcW w:w="1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0" w:type="dxa"/>
            <w:vAlign w:val="bottom"/>
            <w:tcBorders>
              <w:bottom w:val="single" w:sz="8" w:color="CCEEFF"/>
            </w:tcBorders>
            <w:shd w:val="clear" w:color="auto" w:fill="CCEEFF"/>
          </w:tcPr>
          <w:p>
            <w:pPr>
              <w:spacing w:after="0"/>
              <w:rPr>
                <w:sz w:val="20"/>
                <w:szCs w:val="20"/>
                <w:color w:val="auto"/>
              </w:rPr>
            </w:pPr>
          </w:p>
        </w:tc>
      </w:tr>
      <w:tr>
        <w:trPr>
          <w:trHeight w:val="210"/>
        </w:trPr>
        <w:tc>
          <w:tcPr>
            <w:tcW w:w="6520" w:type="dxa"/>
            <w:vAlign w:val="bottom"/>
            <w:tcBorders>
              <w:bottom w:val="single" w:sz="8" w:color="CCEEFF"/>
            </w:tcBorders>
          </w:tcPr>
          <w:p>
            <w:pPr>
              <w:ind w:left="120"/>
              <w:spacing w:after="0" w:line="203" w:lineRule="exact"/>
              <w:rPr>
                <w:sz w:val="20"/>
                <w:szCs w:val="20"/>
                <w:color w:val="auto"/>
              </w:rPr>
            </w:pPr>
            <w:r>
              <w:rPr>
                <w:rFonts w:ascii="Arial" w:cs="Arial" w:eastAsia="Arial" w:hAnsi="Arial"/>
                <w:sz w:val="18"/>
                <w:szCs w:val="18"/>
                <w:color w:val="auto"/>
              </w:rPr>
              <w:t>Shares for calculating diluted EPS</w:t>
            </w: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60,363</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60,456</w:t>
            </w:r>
          </w:p>
        </w:tc>
        <w:tc>
          <w:tcPr>
            <w:tcW w:w="200" w:type="dxa"/>
            <w:vAlign w:val="bottom"/>
            <w:tcBorders>
              <w:bottom w:val="single" w:sz="8" w:color="CCEEFF"/>
            </w:tcBorders>
          </w:tcPr>
          <w:p>
            <w:pPr>
              <w:spacing w:after="0"/>
              <w:rPr>
                <w:sz w:val="18"/>
                <w:szCs w:val="18"/>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earnings per share:</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16"/>
        </w:trPr>
        <w:tc>
          <w:tcPr>
            <w:tcW w:w="6520" w:type="dxa"/>
            <w:vAlign w:val="bottom"/>
          </w:tcPr>
          <w:p>
            <w:pPr>
              <w:ind w:left="120"/>
              <w:spacing w:after="0"/>
              <w:rPr>
                <w:sz w:val="20"/>
                <w:szCs w:val="20"/>
                <w:color w:val="auto"/>
              </w:rPr>
            </w:pPr>
            <w:r>
              <w:rPr>
                <w:rFonts w:ascii="Arial" w:cs="Arial" w:eastAsia="Arial" w:hAnsi="Arial"/>
                <w:sz w:val="18"/>
                <w:szCs w:val="18"/>
                <w:color w:val="auto"/>
              </w:rPr>
              <w:t>Basic</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0.53</w:t>
            </w:r>
          </w:p>
        </w:tc>
        <w:tc>
          <w:tcPr>
            <w:tcW w:w="100" w:type="dxa"/>
            <w:vAlign w:val="bottom"/>
          </w:tcPr>
          <w:p>
            <w:pPr>
              <w:spacing w:after="0"/>
              <w:rPr>
                <w:sz w:val="18"/>
                <w:szCs w:val="18"/>
                <w:color w:val="auto"/>
              </w:rPr>
            </w:pPr>
          </w:p>
        </w:tc>
        <w:tc>
          <w:tcPr>
            <w:tcW w:w="3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0.34</w:t>
            </w:r>
          </w:p>
        </w:tc>
        <w:tc>
          <w:tcPr>
            <w:tcW w:w="200" w:type="dxa"/>
            <w:vAlign w:val="bottom"/>
          </w:tcPr>
          <w:p>
            <w:pPr>
              <w:spacing w:after="0"/>
              <w:rPr>
                <w:sz w:val="18"/>
                <w:szCs w:val="18"/>
                <w:color w:val="auto"/>
              </w:rPr>
            </w:pPr>
          </w:p>
        </w:tc>
      </w:tr>
      <w:tr>
        <w:trPr>
          <w:trHeight w:val="216"/>
        </w:trPr>
        <w:tc>
          <w:tcPr>
            <w:tcW w:w="65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Diluted</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2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480" w:right="340"/>
        <w:spacing w:after="0" w:line="277" w:lineRule="auto"/>
        <w:rPr>
          <w:sz w:val="20"/>
          <w:szCs w:val="20"/>
          <w:color w:val="auto"/>
        </w:rPr>
      </w:pPr>
      <w:r>
        <w:rPr>
          <w:rFonts w:ascii="Arial" w:cs="Arial" w:eastAsia="Arial" w:hAnsi="Arial"/>
          <w:sz w:val="18"/>
          <w:szCs w:val="18"/>
          <w:color w:val="auto"/>
        </w:rPr>
        <w:t>No options were excluded from the computation of diluted EPS for the quarters ended March 31, 2018, or April 1, 2017.</w:t>
      </w:r>
    </w:p>
    <w:p>
      <w:pPr>
        <w:spacing w:after="0" w:line="170" w:lineRule="exact"/>
        <w:rPr>
          <w:sz w:val="20"/>
          <w:szCs w:val="20"/>
          <w:color w:val="auto"/>
        </w:rPr>
      </w:pPr>
    </w:p>
    <w:p>
      <w:pPr>
        <w:ind w:left="480" w:right="20" w:firstLine="648"/>
        <w:spacing w:after="0" w:line="279" w:lineRule="auto"/>
        <w:rPr>
          <w:sz w:val="20"/>
          <w:szCs w:val="20"/>
          <w:color w:val="auto"/>
        </w:rPr>
      </w:pPr>
      <w:r>
        <w:rPr>
          <w:rFonts w:ascii="Arial" w:cs="Arial" w:eastAsia="Arial" w:hAnsi="Arial"/>
          <w:sz w:val="17"/>
          <w:szCs w:val="17"/>
          <w:color w:val="auto"/>
        </w:rPr>
        <w:t>On October 17, 2017, our Board of Directors declared a three-for-one stock split effected in the form of a stock dividend. The record date of the stock split was on October 31, 2017, and the eventual stock distribution to shareholders occurred on November 14, 2017. As a result of the stock split, all historical per share data and number of shares outstanding presented in future financial statements are retroactively adjusted.</w:t>
      </w:r>
    </w:p>
    <w:p>
      <w:pPr>
        <w:spacing w:after="0" w:line="167" w:lineRule="exact"/>
        <w:rPr>
          <w:sz w:val="20"/>
          <w:szCs w:val="20"/>
          <w:color w:val="auto"/>
        </w:rPr>
      </w:pPr>
    </w:p>
    <w:p>
      <w:pPr>
        <w:ind w:left="480" w:hanging="477"/>
        <w:spacing w:after="0"/>
        <w:tabs>
          <w:tab w:leader="none" w:pos="4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CONTINGENCIES, AND GUARANTEES</w:t>
      </w:r>
    </w:p>
    <w:p>
      <w:pPr>
        <w:spacing w:after="0" w:line="229" w:lineRule="exact"/>
        <w:rPr>
          <w:rFonts w:ascii="Arial" w:cs="Arial" w:eastAsia="Arial" w:hAnsi="Arial"/>
          <w:sz w:val="18"/>
          <w:szCs w:val="18"/>
          <w:b w:val="1"/>
          <w:bCs w:val="1"/>
          <w:color w:val="auto"/>
        </w:rPr>
      </w:pPr>
    </w:p>
    <w:p>
      <w:pPr>
        <w:ind w:left="480" w:right="3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We are self-insured for environmental impairment liability, including certain liabilities which are insured through a wholly owned subsidiary, Ardellis Insurance Ltd., a licensed captive insurance company.</w:t>
      </w:r>
    </w:p>
    <w:p>
      <w:pPr>
        <w:spacing w:after="0" w:line="170" w:lineRule="exact"/>
        <w:rPr>
          <w:rFonts w:ascii="Arial" w:cs="Arial" w:eastAsia="Arial" w:hAnsi="Arial"/>
          <w:sz w:val="18"/>
          <w:szCs w:val="18"/>
          <w:b w:val="1"/>
          <w:bCs w:val="1"/>
          <w:color w:val="auto"/>
        </w:rPr>
      </w:pPr>
    </w:p>
    <w:p>
      <w:pPr>
        <w:ind w:left="480" w:right="12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We own and operate a number of facilities throughout the United States that chemically treat lumber products. In connection with the ownership and operation of these and other real properties, and the disposal or treatment of hazardous or toxic substances, we may, under various federal, state, and local environmental laws, ordinances, and regulations, be potentially liable for removal and remediation costs, as well as other potential costs, damages, and expenses. Environmental reserves, calculated with no discount rate, have been established to cover remediation activities at wood preservation facilities in Stockertown, PA; Elizabeth City, NC; and Auburndale, FL. In addition, a reserve was established for our facility in Thornton, CA to remove certain lead containing materials which existed on the property at the time of purchase.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jc w:val="both"/>
        <w:ind w:left="480" w:right="60"/>
        <w:spacing w:after="0" w:line="264" w:lineRule="auto"/>
        <w:rPr>
          <w:sz w:val="20"/>
          <w:szCs w:val="20"/>
          <w:color w:val="auto"/>
        </w:rPr>
      </w:pPr>
      <w:r>
        <w:rPr>
          <w:rFonts w:ascii="Arial" w:cs="Arial" w:eastAsia="Arial" w:hAnsi="Arial"/>
          <w:sz w:val="18"/>
          <w:szCs w:val="18"/>
          <w:color w:val="auto"/>
        </w:rPr>
        <w:t>On a consolidated basis, we have reserved approximately $2.6 million and $3.6 million on March 31, 2018, and April 1, 2017, respectively, representing the estimated costs to complete future remediation efforts. These amounts have not been reduced by an insurance receivable.</w:t>
      </w:r>
    </w:p>
    <w:p>
      <w:pPr>
        <w:spacing w:after="0" w:line="181" w:lineRule="exact"/>
        <w:rPr>
          <w:sz w:val="20"/>
          <w:szCs w:val="20"/>
          <w:color w:val="auto"/>
        </w:rPr>
      </w:pPr>
    </w:p>
    <w:p>
      <w:pPr>
        <w:ind w:left="480"/>
        <w:spacing w:after="0" w:line="290" w:lineRule="auto"/>
        <w:rPr>
          <w:sz w:val="20"/>
          <w:szCs w:val="20"/>
          <w:color w:val="auto"/>
        </w:rPr>
      </w:pPr>
      <w:r>
        <w:rPr>
          <w:rFonts w:ascii="Arial" w:cs="Arial" w:eastAsia="Arial" w:hAnsi="Arial"/>
          <w:sz w:val="16"/>
          <w:szCs w:val="16"/>
          <w:color w:val="auto"/>
        </w:rPr>
        <w:t>Many of our wood treating operations utilize “Subpart W” drip pads, defined as hazardous waste management units by the Environmental Protection Agency. The rules regulating drip pads require that a pad be “closed” at the point that it is no longer intended to be used for wood treating operations or to manage hazardous waste. Closure involves identification and disposal of contaminants which are required to be removed from the facility. The cost of closure is dependent upon a number of factors including, but not limited to, identification and removal of contaminants, cleanup standards that vary from state to state, and the time period over which the cleanup would be completed. Based on our present knowledge of existing circumstances, it is considered probable that these costs will approximate $0.2 million. As a result, this amount is recorded in other long-term liabilities on March 31, 2018.</w:t>
      </w:r>
    </w:p>
    <w:p>
      <w:pPr>
        <w:spacing w:after="0" w:line="166" w:lineRule="exact"/>
        <w:rPr>
          <w:sz w:val="20"/>
          <w:szCs w:val="20"/>
          <w:color w:val="auto"/>
        </w:rPr>
      </w:pPr>
    </w:p>
    <w:p>
      <w:pPr>
        <w:ind w:left="480" w:right="20"/>
        <w:spacing w:after="0" w:line="284" w:lineRule="auto"/>
        <w:rPr>
          <w:sz w:val="20"/>
          <w:szCs w:val="20"/>
          <w:color w:val="auto"/>
        </w:rPr>
      </w:pPr>
      <w:r>
        <w:rPr>
          <w:rFonts w:ascii="Arial" w:cs="Arial" w:eastAsia="Arial" w:hAnsi="Arial"/>
          <w:sz w:val="16"/>
          <w:szCs w:val="16"/>
          <w:color w:val="auto"/>
        </w:rPr>
        <w:t>In February 2014, one of our operations was served with a federal grand jury subpoena from the Southern District of New York. The subpoena was issued in connection with an investigation being conducted by the US Attorney’s Office for the Southern District of New York. The subpoena requested documents relating to a developer and construction projects for which our operation had provided materials and labor. Following receipt of the subpoena, the Audit Committee of the Company’s Board of Directors retained outside counsel to conduct an internal investigation and respond to the subpoena. The Company cooperated in all respects with the US Attorney’s Office, complied with this subpoena and voluntarily provided additional information. As a result of the internal investigation, in 2014, two Company employees were terminated for violating the Company’s Code of Business Conduct and Ethics. In</w:t>
      </w:r>
    </w:p>
    <w:p>
      <w:pPr>
        <w:spacing w:after="0" w:line="1" w:lineRule="exact"/>
        <w:rPr>
          <w:sz w:val="20"/>
          <w:szCs w:val="20"/>
          <w:color w:val="auto"/>
        </w:rPr>
      </w:pPr>
    </w:p>
    <w:p>
      <w:pPr>
        <w:ind w:left="480"/>
        <w:spacing w:after="0" w:line="252" w:lineRule="auto"/>
        <w:rPr>
          <w:sz w:val="20"/>
          <w:szCs w:val="20"/>
          <w:color w:val="auto"/>
        </w:rPr>
      </w:pPr>
      <w:r>
        <w:rPr>
          <w:rFonts w:ascii="Arial" w:cs="Arial" w:eastAsia="Arial" w:hAnsi="Arial"/>
          <w:sz w:val="18"/>
          <w:szCs w:val="18"/>
          <w:color w:val="auto"/>
        </w:rPr>
        <w:t>May 2015, those ex-employees were indicted by the grand jury. In April 2016, one of the two former employees pled guilty to four of the charges included in the indictment. In May 2016, the other former employee was found guilty by a jury on four of the charges included in the indictment. The Company has not been named as a target and continues to cooperate with the US Attorney’s Office in this matter. Based upon prior communications with the US Attorney’s Office, we do not believe that the resolution of this matter will have a material adverse impact on our financial condition or the results of our operations.</w:t>
      </w:r>
    </w:p>
    <w:p>
      <w:pPr>
        <w:spacing w:after="0" w:line="194" w:lineRule="exact"/>
        <w:rPr>
          <w:sz w:val="20"/>
          <w:szCs w:val="20"/>
          <w:color w:val="auto"/>
        </w:rPr>
      </w:pPr>
    </w:p>
    <w:p>
      <w:pPr>
        <w:ind w:left="480" w:right="320"/>
        <w:spacing w:after="0" w:line="286" w:lineRule="auto"/>
        <w:rPr>
          <w:sz w:val="20"/>
          <w:szCs w:val="20"/>
          <w:color w:val="auto"/>
        </w:rPr>
      </w:pPr>
      <w:r>
        <w:rPr>
          <w:rFonts w:ascii="Arial" w:cs="Arial" w:eastAsia="Arial" w:hAnsi="Arial"/>
          <w:sz w:val="17"/>
          <w:szCs w:val="17"/>
          <w:color w:val="auto"/>
        </w:rPr>
        <w:t>In addition, on March 31, 2018, we were parties either as plaintiff or defendant to a number of lawsuits and claims arising through the normal course of our business. In the opinion of management, our consolidated financial statements will not be materially affected by the outcome of these contingencies and claims.</w:t>
      </w:r>
    </w:p>
    <w:p>
      <w:pPr>
        <w:spacing w:after="0" w:line="166" w:lineRule="exact"/>
        <w:rPr>
          <w:sz w:val="20"/>
          <w:szCs w:val="20"/>
          <w:color w:val="auto"/>
        </w:rPr>
      </w:pPr>
    </w:p>
    <w:p>
      <w:pPr>
        <w:ind w:left="480" w:right="380"/>
        <w:spacing w:after="0" w:line="277" w:lineRule="auto"/>
        <w:rPr>
          <w:sz w:val="20"/>
          <w:szCs w:val="20"/>
          <w:color w:val="auto"/>
        </w:rPr>
      </w:pPr>
      <w:r>
        <w:rPr>
          <w:rFonts w:ascii="Arial" w:cs="Arial" w:eastAsia="Arial" w:hAnsi="Arial"/>
          <w:sz w:val="18"/>
          <w:szCs w:val="18"/>
          <w:color w:val="auto"/>
        </w:rPr>
        <w:t>On March 31, 2018, we had outstanding purchase commitments on commenced capital projects of approximately $28.5 million.</w:t>
      </w:r>
    </w:p>
    <w:p>
      <w:pPr>
        <w:spacing w:after="0" w:line="170" w:lineRule="exact"/>
        <w:rPr>
          <w:sz w:val="20"/>
          <w:szCs w:val="20"/>
          <w:color w:val="auto"/>
        </w:rPr>
      </w:pPr>
    </w:p>
    <w:p>
      <w:pPr>
        <w:ind w:left="480" w:right="40"/>
        <w:spacing w:after="0" w:line="257" w:lineRule="auto"/>
        <w:rPr>
          <w:sz w:val="20"/>
          <w:szCs w:val="20"/>
          <w:color w:val="auto"/>
        </w:rPr>
      </w:pPr>
      <w:r>
        <w:rPr>
          <w:rFonts w:ascii="Arial" w:cs="Arial" w:eastAsia="Arial" w:hAnsi="Arial"/>
          <w:sz w:val="18"/>
          <w:szCs w:val="18"/>
          <w:color w:val="auto"/>
        </w:rPr>
        <w:t>We provide a variety of warranties for products we manufacture. Historically, warranty claims have not been material. We distribute products manufactured by other companies, some of which are no longer in business. While we do not warrant these products, we have received claims as a distributor of these products when the manufacturer no longer exists or has the ability to pay. Historically, these costs have not had a material effect on our consolidated financial statements.</w:t>
      </w:r>
    </w:p>
    <w:p>
      <w:pPr>
        <w:spacing w:after="0" w:line="188" w:lineRule="exact"/>
        <w:rPr>
          <w:sz w:val="20"/>
          <w:szCs w:val="20"/>
          <w:color w:val="auto"/>
        </w:rPr>
      </w:pPr>
    </w:p>
    <w:p>
      <w:pPr>
        <w:ind w:left="480" w:right="80"/>
        <w:spacing w:after="0" w:line="255" w:lineRule="auto"/>
        <w:rPr>
          <w:sz w:val="20"/>
          <w:szCs w:val="20"/>
          <w:color w:val="auto"/>
        </w:rPr>
      </w:pPr>
      <w:r>
        <w:rPr>
          <w:rFonts w:ascii="Arial" w:cs="Arial" w:eastAsia="Arial" w:hAnsi="Arial"/>
          <w:sz w:val="18"/>
          <w:szCs w:val="18"/>
          <w:color w:val="auto"/>
        </w:rPr>
        <w:t>As part of our operations, we supply building materials and labor to site-built construction projects or we jointly bid on contracts with framing companies for such projects. In some instances, we are required to post payment and performance bonds to insure the project owner that the products and installation services are completed in accordance with our contractual obligations. We have agreed to indemnify the surety for claims made against the bonds. As of March 31, 2018, we had approximately $12.9 million outstanding payment and performance bonds for open projects. We had approximately $6.8 million in payment and performance bonds outstanding for completed projects which are still under warranty.</w:t>
      </w:r>
    </w:p>
    <w:p>
      <w:pPr>
        <w:spacing w:after="0" w:line="189" w:lineRule="exact"/>
        <w:rPr>
          <w:sz w:val="20"/>
          <w:szCs w:val="20"/>
          <w:color w:val="auto"/>
        </w:rPr>
      </w:pPr>
    </w:p>
    <w:p>
      <w:pPr>
        <w:ind w:left="480" w:right="160"/>
        <w:spacing w:after="0" w:line="277" w:lineRule="auto"/>
        <w:rPr>
          <w:sz w:val="20"/>
          <w:szCs w:val="20"/>
          <w:color w:val="auto"/>
        </w:rPr>
      </w:pPr>
      <w:r>
        <w:rPr>
          <w:rFonts w:ascii="Arial" w:cs="Arial" w:eastAsia="Arial" w:hAnsi="Arial"/>
          <w:sz w:val="18"/>
          <w:szCs w:val="18"/>
          <w:color w:val="auto"/>
        </w:rPr>
        <w:t>On March 31, 2018, we had outstanding letters of credit totaling $26.4 million, primarily related to certain insurance contracts and industrial development revenue bonds described further below.</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jc w:val="both"/>
        <w:ind w:left="500" w:right="160"/>
        <w:spacing w:after="0" w:line="302" w:lineRule="auto"/>
        <w:rPr>
          <w:sz w:val="20"/>
          <w:szCs w:val="20"/>
          <w:color w:val="auto"/>
        </w:rPr>
      </w:pPr>
      <w:r>
        <w:rPr>
          <w:rFonts w:ascii="Arial" w:cs="Arial" w:eastAsia="Arial" w:hAnsi="Arial"/>
          <w:sz w:val="16"/>
          <w:szCs w:val="16"/>
          <w:color w:val="auto"/>
        </w:rPr>
        <w:t>In lieu of cash deposits, we provide irrevocable letters of credit in favor of our insurers to guarantee our performance under certain insurance contracts. We currently have irrevocable letters of credit outstanding totaling approximately $16.6 million for these types of insurance arrangements. We have reserves recorded on our balance sheet, in accrued liabilities, that reflect our expected future liabilities under these insurance arrangements.</w:t>
      </w:r>
    </w:p>
    <w:p>
      <w:pPr>
        <w:spacing w:after="0" w:line="154" w:lineRule="exact"/>
        <w:rPr>
          <w:sz w:val="20"/>
          <w:szCs w:val="20"/>
          <w:color w:val="auto"/>
        </w:rPr>
      </w:pPr>
    </w:p>
    <w:p>
      <w:pPr>
        <w:ind w:left="480" w:right="100"/>
        <w:spacing w:after="0" w:line="257" w:lineRule="auto"/>
        <w:rPr>
          <w:sz w:val="20"/>
          <w:szCs w:val="20"/>
          <w:color w:val="auto"/>
        </w:rPr>
      </w:pPr>
      <w:r>
        <w:rPr>
          <w:rFonts w:ascii="Arial" w:cs="Arial" w:eastAsia="Arial" w:hAnsi="Arial"/>
          <w:sz w:val="18"/>
          <w:szCs w:val="18"/>
          <w:color w:val="auto"/>
        </w:rPr>
        <w:t>We are required to provide irrevocable letters of credit in favor of the bond trustees for all industrial development revenue bonds that have been issued. These letters of credit guarantee principal and interest payments to the bondholders. We currently have irrevocable letters of credit outstanding totaling approximately $9.8 million related to our outstanding industrial development revenue bonds. These letters of credit have varying terms but may be renewed at the option of the issuing banks.</w:t>
      </w:r>
    </w:p>
    <w:p>
      <w:pPr>
        <w:spacing w:after="0" w:line="188" w:lineRule="exact"/>
        <w:rPr>
          <w:sz w:val="20"/>
          <w:szCs w:val="20"/>
          <w:color w:val="auto"/>
        </w:rPr>
      </w:pPr>
    </w:p>
    <w:p>
      <w:pPr>
        <w:ind w:left="480" w:right="280"/>
        <w:spacing w:after="0" w:line="279" w:lineRule="auto"/>
        <w:rPr>
          <w:sz w:val="20"/>
          <w:szCs w:val="20"/>
          <w:color w:val="auto"/>
        </w:rPr>
      </w:pPr>
      <w:r>
        <w:rPr>
          <w:rFonts w:ascii="Arial" w:cs="Arial" w:eastAsia="Arial" w:hAnsi="Arial"/>
          <w:sz w:val="17"/>
          <w:szCs w:val="17"/>
          <w:color w:val="auto"/>
        </w:rPr>
        <w:t>Certain wholly owned domestic subsidiaries have guaranteed the indebtedness of Universal Forest Products, Inc. in certain debt agreements, including the Series 2012 Senior Notes and our revolving credit facility. The maximum exposure of these guarantees is limited to the indebtedness outstanding under these debt arrangements and this exposure will expire concurrent with the expiration of the debt agreements.</w:t>
      </w:r>
    </w:p>
    <w:p>
      <w:pPr>
        <w:spacing w:after="0" w:line="171" w:lineRule="exact"/>
        <w:rPr>
          <w:sz w:val="20"/>
          <w:szCs w:val="20"/>
          <w:color w:val="auto"/>
        </w:rPr>
      </w:pPr>
    </w:p>
    <w:p>
      <w:pPr>
        <w:ind w:left="480" w:right="480"/>
        <w:spacing w:after="0" w:line="277" w:lineRule="auto"/>
        <w:rPr>
          <w:sz w:val="20"/>
          <w:szCs w:val="20"/>
          <w:color w:val="auto"/>
        </w:rPr>
      </w:pPr>
      <w:r>
        <w:rPr>
          <w:rFonts w:ascii="Arial" w:cs="Arial" w:eastAsia="Arial" w:hAnsi="Arial"/>
          <w:sz w:val="18"/>
          <w:szCs w:val="18"/>
          <w:color w:val="auto"/>
        </w:rPr>
        <w:t>We did not enter into any new guarantee arrangements during the first quarter of 2018 which would require us to recognize a liability on our balance sheet.</w:t>
      </w:r>
    </w:p>
    <w:p>
      <w:pPr>
        <w:spacing w:after="0" w:line="166" w:lineRule="exact"/>
        <w:rPr>
          <w:sz w:val="20"/>
          <w:szCs w:val="20"/>
          <w:color w:val="auto"/>
        </w:rPr>
      </w:pPr>
    </w:p>
    <w:p>
      <w:pPr>
        <w:ind w:left="460" w:hanging="457"/>
        <w:spacing w:after="0"/>
        <w:tabs>
          <w:tab w:leader="none" w:pos="4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COMBINATIONS</w:t>
      </w:r>
    </w:p>
    <w:p>
      <w:pPr>
        <w:spacing w:after="0" w:line="121" w:lineRule="exact"/>
        <w:rPr>
          <w:sz w:val="20"/>
          <w:szCs w:val="20"/>
          <w:color w:val="auto"/>
        </w:rPr>
      </w:pPr>
    </w:p>
    <w:p>
      <w:pPr>
        <w:ind w:left="480" w:right="280"/>
        <w:spacing w:after="0" w:line="277" w:lineRule="auto"/>
        <w:rPr>
          <w:sz w:val="20"/>
          <w:szCs w:val="20"/>
          <w:color w:val="auto"/>
        </w:rPr>
      </w:pPr>
      <w:r>
        <w:rPr>
          <w:rFonts w:ascii="Arial" w:cs="Arial" w:eastAsia="Arial" w:hAnsi="Arial"/>
          <w:sz w:val="18"/>
          <w:szCs w:val="18"/>
          <w:color w:val="auto"/>
        </w:rPr>
        <w:t>We completed the following acquisitions in three months ended 2018 and 2017 which were accounted for using the purchase method in thousands unless otherwise noted:</w:t>
      </w:r>
    </w:p>
    <w:p>
      <w:pPr>
        <w:spacing w:after="0" w:line="70" w:lineRule="exact"/>
        <w:rPr>
          <w:sz w:val="20"/>
          <w:szCs w:val="20"/>
          <w:color w:val="auto"/>
        </w:rPr>
      </w:pPr>
    </w:p>
    <w:tbl>
      <w:tblPr>
        <w:tblLayout w:type="fixed"/>
        <w:tblInd w:w="10" w:type="dxa"/>
        <w:tblCellMar>
          <w:top w:w="0" w:type="dxa"/>
          <w:left w:w="0" w:type="dxa"/>
          <w:bottom w:w="0" w:type="dxa"/>
          <w:right w:w="0" w:type="dxa"/>
        </w:tblCellMar>
      </w:tblPr>
      <w:tr>
        <w:trPr>
          <w:trHeight w:val="202"/>
        </w:trPr>
        <w:tc>
          <w:tcPr>
            <w:tcW w:w="2620" w:type="dxa"/>
            <w:vAlign w:val="bottom"/>
            <w:tcBorders>
              <w:top w:val="single" w:sz="8" w:color="auto"/>
              <w:left w:val="single" w:sz="8" w:color="auto"/>
              <w:right w:val="single" w:sz="8" w:color="auto"/>
            </w:tcBorders>
          </w:tcPr>
          <w:p>
            <w:pPr>
              <w:spacing w:after="0"/>
              <w:rPr>
                <w:sz w:val="17"/>
                <w:szCs w:val="17"/>
                <w:color w:val="auto"/>
              </w:rPr>
            </w:pPr>
          </w:p>
        </w:tc>
        <w:tc>
          <w:tcPr>
            <w:tcW w:w="1520" w:type="dxa"/>
            <w:vAlign w:val="bottom"/>
            <w:tcBorders>
              <w:top w:val="single" w:sz="8" w:color="auto"/>
              <w:right w:val="single" w:sz="8" w:color="auto"/>
            </w:tcBorders>
          </w:tcPr>
          <w:p>
            <w:pPr>
              <w:spacing w:after="0"/>
              <w:rPr>
                <w:sz w:val="17"/>
                <w:szCs w:val="17"/>
                <w:color w:val="auto"/>
              </w:rPr>
            </w:pPr>
          </w:p>
        </w:tc>
        <w:tc>
          <w:tcPr>
            <w:tcW w:w="1820" w:type="dxa"/>
            <w:vAlign w:val="bottom"/>
            <w:tcBorders>
              <w:top w:val="single" w:sz="8" w:color="auto"/>
              <w:right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00" w:type="dxa"/>
            <w:vAlign w:val="bottom"/>
            <w:tcBorders>
              <w:top w:val="single" w:sz="8" w:color="auto"/>
              <w:right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40" w:type="dxa"/>
            <w:vAlign w:val="bottom"/>
            <w:tcBorders>
              <w:top w:val="single" w:sz="8" w:color="auto"/>
              <w:right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Net</w:t>
            </w:r>
          </w:p>
        </w:tc>
        <w:tc>
          <w:tcPr>
            <w:tcW w:w="72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Company</w:t>
            </w:r>
          </w:p>
        </w:tc>
        <w:tc>
          <w:tcPr>
            <w:tcW w:w="1520" w:type="dxa"/>
            <w:vAlign w:val="bottom"/>
            <w:tcBorders>
              <w:right w:val="single" w:sz="8" w:color="auto"/>
            </w:tcBorders>
          </w:tcPr>
          <w:p>
            <w:pPr>
              <w:ind w:left="320"/>
              <w:spacing w:after="0"/>
              <w:rPr>
                <w:sz w:val="20"/>
                <w:szCs w:val="20"/>
                <w:color w:val="auto"/>
              </w:rPr>
            </w:pPr>
            <w:r>
              <w:rPr>
                <w:rFonts w:ascii="Arial" w:cs="Arial" w:eastAsia="Arial" w:hAnsi="Arial"/>
                <w:sz w:val="16"/>
                <w:szCs w:val="16"/>
                <w:b w:val="1"/>
                <w:bCs w:val="1"/>
                <w:color w:val="auto"/>
              </w:rPr>
              <w:t>Acquisition</w:t>
            </w:r>
          </w:p>
        </w:tc>
        <w:tc>
          <w:tcPr>
            <w:tcW w:w="182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Borders>
              <w:right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Intangible</w:t>
            </w:r>
          </w:p>
        </w:tc>
        <w:tc>
          <w:tcPr>
            <w:tcW w:w="140" w:type="dxa"/>
            <w:vAlign w:val="bottom"/>
          </w:tcPr>
          <w:p>
            <w:pPr>
              <w:spacing w:after="0"/>
              <w:rPr>
                <w:sz w:val="17"/>
                <w:szCs w:val="17"/>
                <w:color w:val="auto"/>
              </w:rPr>
            </w:pPr>
          </w:p>
        </w:tc>
        <w:tc>
          <w:tcPr>
            <w:tcW w:w="1040" w:type="dxa"/>
            <w:vAlign w:val="bottom"/>
            <w:tcBorders>
              <w:right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Tangible</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Operating</w:t>
            </w:r>
          </w:p>
        </w:tc>
        <w:tc>
          <w:tcPr>
            <w:tcW w:w="0" w:type="dxa"/>
            <w:vAlign w:val="bottom"/>
          </w:tcPr>
          <w:p>
            <w:pPr>
              <w:spacing w:after="0"/>
              <w:rPr>
                <w:sz w:val="1"/>
                <w:szCs w:val="1"/>
                <w:color w:val="auto"/>
              </w:rPr>
            </w:pPr>
          </w:p>
        </w:tc>
      </w:tr>
      <w:tr>
        <w:trPr>
          <w:trHeight w:val="223"/>
        </w:trPr>
        <w:tc>
          <w:tcPr>
            <w:tcW w:w="26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Name</w:t>
            </w:r>
          </w:p>
        </w:tc>
        <w:tc>
          <w:tcPr>
            <w:tcW w:w="1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2"/>
              </w:rPr>
              <w:t>Date</w:t>
            </w: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Purchase Price</w:t>
            </w: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right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right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Assets</w:t>
            </w:r>
          </w:p>
        </w:tc>
        <w:tc>
          <w:tcPr>
            <w:tcW w:w="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5"/>
              </w:rPr>
              <w:t>Segment</w:t>
            </w:r>
          </w:p>
        </w:tc>
        <w:tc>
          <w:tcPr>
            <w:tcW w:w="0" w:type="dxa"/>
            <w:vAlign w:val="bottom"/>
          </w:tcPr>
          <w:p>
            <w:pPr>
              <w:spacing w:after="0"/>
              <w:rPr>
                <w:sz w:val="1"/>
                <w:szCs w:val="1"/>
                <w:color w:val="auto"/>
              </w:rPr>
            </w:pPr>
          </w:p>
        </w:tc>
      </w:tr>
      <w:tr>
        <w:trPr>
          <w:trHeight w:val="193"/>
        </w:trPr>
        <w:tc>
          <w:tcPr>
            <w:tcW w:w="2620" w:type="dxa"/>
            <w:vAlign w:val="bottom"/>
            <w:tcBorders>
              <w:left w:val="single" w:sz="8" w:color="auto"/>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$2,942</w:t>
            </w:r>
          </w:p>
        </w:tc>
        <w:tc>
          <w:tcPr>
            <w:tcW w:w="12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tcPr>
          <w:p>
            <w:pPr>
              <w:spacing w:after="0"/>
              <w:rPr>
                <w:sz w:val="17"/>
                <w:szCs w:val="17"/>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8"/>
              </w:rPr>
              <w:t>January 23, 2018</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cash paid for 100% asset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1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850</w:t>
            </w:r>
          </w:p>
        </w:tc>
        <w:tc>
          <w:tcPr>
            <w:tcW w:w="140" w:type="dxa"/>
            <w:vAlign w:val="bottom"/>
          </w:tcPr>
          <w:p>
            <w:pPr>
              <w:jc w:val="right"/>
              <w:ind w:right="75"/>
              <w:spacing w:after="0"/>
              <w:rPr>
                <w:sz w:val="20"/>
                <w:szCs w:val="20"/>
                <w:color w:val="auto"/>
              </w:rPr>
            </w:pPr>
            <w:r>
              <w:rPr>
                <w:rFonts w:ascii="Arial" w:cs="Arial" w:eastAsia="Arial" w:hAnsi="Arial"/>
                <w:sz w:val="5"/>
                <w:szCs w:val="5"/>
                <w:color w:val="auto"/>
                <w:w w:val="70"/>
              </w:rPr>
              <w:t>$</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2,092</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7"/>
              </w:rPr>
              <w:t>West</w:t>
            </w:r>
          </w:p>
        </w:tc>
        <w:tc>
          <w:tcPr>
            <w:tcW w:w="0" w:type="dxa"/>
            <w:vAlign w:val="bottom"/>
          </w:tcPr>
          <w:p>
            <w:pPr>
              <w:spacing w:after="0"/>
              <w:rPr>
                <w:sz w:val="1"/>
                <w:szCs w:val="1"/>
                <w:color w:val="auto"/>
              </w:rPr>
            </w:pPr>
          </w:p>
        </w:tc>
      </w:tr>
      <w:tr>
        <w:trPr>
          <w:trHeight w:val="209"/>
        </w:trPr>
        <w:tc>
          <w:tcPr>
            <w:tcW w:w="2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2"/>
              </w:rPr>
              <w:t>Spinner Wood Products, LLC</w:t>
            </w:r>
          </w:p>
        </w:tc>
        <w:tc>
          <w:tcPr>
            <w:tcW w:w="152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purchase</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620" w:type="dxa"/>
            <w:vAlign w:val="bottom"/>
            <w:tcBorders>
              <w:left w:val="single" w:sz="8" w:color="auto"/>
              <w:right w:val="single" w:sz="8" w:color="auto"/>
            </w:tcBorders>
            <w:vMerge w:val="continue"/>
          </w:tcPr>
          <w:p>
            <w:pPr>
              <w:spacing w:after="0"/>
              <w:rPr>
                <w:sz w:val="15"/>
                <w:szCs w:val="15"/>
                <w:color w:val="auto"/>
              </w:rPr>
            </w:pPr>
          </w:p>
        </w:tc>
        <w:tc>
          <w:tcPr>
            <w:tcW w:w="6460" w:type="dxa"/>
            <w:vAlign w:val="bottom"/>
            <w:tcBorders>
              <w:right w:val="single" w:sz="8" w:color="auto"/>
            </w:tcBorders>
            <w:gridSpan w:val="7"/>
          </w:tcPr>
          <w:p>
            <w:pPr>
              <w:spacing w:after="0" w:line="176" w:lineRule="exact"/>
              <w:rPr>
                <w:sz w:val="20"/>
                <w:szCs w:val="20"/>
                <w:color w:val="auto"/>
              </w:rPr>
            </w:pPr>
            <w:r>
              <w:rPr>
                <w:rFonts w:ascii="Arial" w:cs="Arial" w:eastAsia="Arial" w:hAnsi="Arial"/>
                <w:sz w:val="16"/>
                <w:szCs w:val="16"/>
                <w:color w:val="auto"/>
                <w:w w:val="95"/>
              </w:rPr>
              <w:t>A manufacturer and distributor of agricultural bin and various industrial packaging. Spinner had</w:t>
            </w:r>
          </w:p>
        </w:tc>
        <w:tc>
          <w:tcPr>
            <w:tcW w:w="0" w:type="dxa"/>
            <w:vAlign w:val="bottom"/>
          </w:tcPr>
          <w:p>
            <w:pPr>
              <w:spacing w:after="0"/>
              <w:rPr>
                <w:sz w:val="1"/>
                <w:szCs w:val="1"/>
                <w:color w:val="auto"/>
              </w:rPr>
            </w:pPr>
          </w:p>
        </w:tc>
      </w:tr>
      <w:tr>
        <w:trPr>
          <w:trHeight w:val="216"/>
        </w:trPr>
        <w:tc>
          <w:tcPr>
            <w:tcW w:w="26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5"/>
              </w:rPr>
              <w:t>("Spinner")</w:t>
            </w:r>
          </w:p>
        </w:tc>
        <w:tc>
          <w:tcPr>
            <w:tcW w:w="646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8"/>
              </w:rPr>
              <w:t>annual sales of approximately $8 million. The acquisition of Spinner allows us to expand our</w:t>
            </w: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tcPr>
          <w:p>
            <w:pPr>
              <w:spacing w:after="0"/>
              <w:rPr>
                <w:sz w:val="17"/>
                <w:szCs w:val="17"/>
                <w:color w:val="auto"/>
              </w:rPr>
            </w:pPr>
          </w:p>
        </w:tc>
        <w:tc>
          <w:tcPr>
            <w:tcW w:w="646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5"/>
              </w:rPr>
              <w:t>industrial packaging product offering and creates operating leverage by consolidating with other</w:t>
            </w:r>
          </w:p>
        </w:tc>
        <w:tc>
          <w:tcPr>
            <w:tcW w:w="0" w:type="dxa"/>
            <w:vAlign w:val="bottom"/>
          </w:tcPr>
          <w:p>
            <w:pPr>
              <w:spacing w:after="0"/>
              <w:rPr>
                <w:sz w:val="1"/>
                <w:szCs w:val="1"/>
                <w:color w:val="auto"/>
              </w:rPr>
            </w:pPr>
          </w:p>
        </w:tc>
      </w:tr>
      <w:tr>
        <w:trPr>
          <w:trHeight w:val="219"/>
        </w:trPr>
        <w:tc>
          <w:tcPr>
            <w:tcW w:w="2620" w:type="dxa"/>
            <w:vAlign w:val="bottom"/>
            <w:tcBorders>
              <w:left w:val="single" w:sz="8" w:color="auto"/>
              <w:bottom w:val="single" w:sz="8" w:color="auto"/>
              <w:right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regional operations.</w:t>
            </w:r>
          </w:p>
        </w:tc>
        <w:tc>
          <w:tcPr>
            <w:tcW w:w="18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620" w:type="dxa"/>
            <w:vAlign w:val="bottom"/>
            <w:tcBorders>
              <w:left w:val="single" w:sz="8" w:color="auto"/>
              <w:right w:val="single" w:sz="8" w:color="auto"/>
            </w:tcBorders>
            <w:shd w:val="clear" w:color="auto" w:fill="CCEEFF"/>
          </w:tcPr>
          <w:p>
            <w:pPr>
              <w:spacing w:after="0"/>
              <w:rPr>
                <w:sz w:val="16"/>
                <w:szCs w:val="16"/>
                <w:color w:val="auto"/>
              </w:rPr>
            </w:pPr>
          </w:p>
        </w:tc>
        <w:tc>
          <w:tcPr>
            <w:tcW w:w="1520" w:type="dxa"/>
            <w:vAlign w:val="bottom"/>
            <w:tcBorders>
              <w:right w:val="single" w:sz="8" w:color="auto"/>
            </w:tcBorders>
            <w:shd w:val="clear" w:color="auto" w:fill="CCEEFF"/>
          </w:tcPr>
          <w:p>
            <w:pPr>
              <w:spacing w:after="0"/>
              <w:rPr>
                <w:sz w:val="16"/>
                <w:szCs w:val="16"/>
                <w:color w:val="auto"/>
              </w:rPr>
            </w:pPr>
          </w:p>
        </w:tc>
        <w:tc>
          <w:tcPr>
            <w:tcW w:w="18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$5,845</w:t>
            </w:r>
          </w:p>
        </w:tc>
        <w:tc>
          <w:tcPr>
            <w:tcW w:w="120" w:type="dxa"/>
            <w:vAlign w:val="bottom"/>
            <w:shd w:val="clear" w:color="auto" w:fill="CCEEFF"/>
          </w:tcPr>
          <w:p>
            <w:pPr>
              <w:spacing w:after="0"/>
              <w:rPr>
                <w:sz w:val="16"/>
                <w:szCs w:val="16"/>
                <w:color w:val="auto"/>
              </w:rPr>
            </w:pPr>
          </w:p>
        </w:tc>
        <w:tc>
          <w:tcPr>
            <w:tcW w:w="110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tcBorders>
              <w:right w:val="single" w:sz="8" w:color="auto"/>
            </w:tcBorders>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shd w:val="clear" w:color="auto" w:fill="CCEEFF"/>
          </w:tcPr>
          <w:p>
            <w:pPr>
              <w:spacing w:after="0"/>
              <w:rPr>
                <w:sz w:val="17"/>
                <w:szCs w:val="17"/>
                <w:color w:val="auto"/>
              </w:rPr>
            </w:pPr>
          </w:p>
        </w:tc>
        <w:tc>
          <w:tcPr>
            <w:tcW w:w="15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8"/>
              </w:rPr>
              <w:t>January 15, 2018</w:t>
            </w:r>
          </w:p>
        </w:tc>
        <w:tc>
          <w:tcPr>
            <w:tcW w:w="18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cash paid for 100% asset</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1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w:t>
            </w:r>
          </w:p>
        </w:tc>
        <w:tc>
          <w:tcPr>
            <w:tcW w:w="140" w:type="dxa"/>
            <w:vAlign w:val="bottom"/>
            <w:shd w:val="clear" w:color="auto" w:fill="CCEEFF"/>
          </w:tcPr>
          <w:p>
            <w:pPr>
              <w:jc w:val="right"/>
              <w:ind w:right="75"/>
              <w:spacing w:after="0"/>
              <w:rPr>
                <w:sz w:val="20"/>
                <w:szCs w:val="20"/>
                <w:color w:val="auto"/>
              </w:rPr>
            </w:pPr>
            <w:r>
              <w:rPr>
                <w:rFonts w:ascii="Arial" w:cs="Arial" w:eastAsia="Arial" w:hAnsi="Arial"/>
                <w:sz w:val="5"/>
                <w:szCs w:val="5"/>
                <w:color w:val="auto"/>
                <w:w w:val="70"/>
              </w:rPr>
              <w:t>$</w:t>
            </w:r>
          </w:p>
        </w:tc>
        <w:tc>
          <w:tcPr>
            <w:tcW w:w="10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5,795</w:t>
            </w:r>
          </w:p>
        </w:tc>
        <w:tc>
          <w:tcPr>
            <w:tcW w:w="7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7"/>
              </w:rPr>
              <w:t>North</w:t>
            </w:r>
          </w:p>
        </w:tc>
        <w:tc>
          <w:tcPr>
            <w:tcW w:w="0" w:type="dxa"/>
            <w:vAlign w:val="bottom"/>
          </w:tcPr>
          <w:p>
            <w:pPr>
              <w:spacing w:after="0"/>
              <w:rPr>
                <w:sz w:val="1"/>
                <w:szCs w:val="1"/>
                <w:color w:val="auto"/>
              </w:rPr>
            </w:pPr>
          </w:p>
        </w:tc>
      </w:tr>
      <w:tr>
        <w:trPr>
          <w:trHeight w:val="209"/>
        </w:trPr>
        <w:tc>
          <w:tcPr>
            <w:tcW w:w="2620" w:type="dxa"/>
            <w:vAlign w:val="bottom"/>
            <w:tcBorders>
              <w:left w:val="single" w:sz="8" w:color="auto"/>
              <w:bottom w:val="single" w:sz="8" w:color="CCEEFF"/>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color w:val="auto"/>
                <w:w w:val="94"/>
              </w:rPr>
              <w:t>Great Northern Lumber, LLC</w:t>
            </w: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c>
          <w:tcPr>
            <w:tcW w:w="1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8"/>
              </w:rPr>
              <w:t>purchase</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right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spacing w:after="0"/>
              <w:rPr>
                <w:sz w:val="18"/>
                <w:szCs w:val="18"/>
                <w:color w:val="auto"/>
              </w:rPr>
            </w:pPr>
          </w:p>
        </w:tc>
        <w:tc>
          <w:tcPr>
            <w:tcW w:w="72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20" w:type="dxa"/>
            <w:vAlign w:val="bottom"/>
            <w:tcBorders>
              <w:left w:val="single" w:sz="8" w:color="auto"/>
              <w:right w:val="single" w:sz="8" w:color="auto"/>
            </w:tcBorders>
            <w:vMerge w:val="continue"/>
            <w:shd w:val="clear" w:color="auto" w:fill="CCEEFF"/>
          </w:tcPr>
          <w:p>
            <w:pPr>
              <w:spacing w:after="0"/>
              <w:rPr>
                <w:sz w:val="16"/>
                <w:szCs w:val="16"/>
                <w:color w:val="auto"/>
              </w:rPr>
            </w:pPr>
          </w:p>
        </w:tc>
        <w:tc>
          <w:tcPr>
            <w:tcW w:w="6460" w:type="dxa"/>
            <w:vAlign w:val="bottom"/>
            <w:tcBorders>
              <w:right w:val="single" w:sz="8" w:color="auto"/>
            </w:tcBorders>
            <w:gridSpan w:val="7"/>
            <w:shd w:val="clear" w:color="auto" w:fill="CCEEFF"/>
          </w:tcPr>
          <w:p>
            <w:pPr>
              <w:spacing w:after="0"/>
              <w:rPr>
                <w:sz w:val="20"/>
                <w:szCs w:val="20"/>
                <w:color w:val="auto"/>
              </w:rPr>
            </w:pPr>
            <w:r>
              <w:rPr>
                <w:rFonts w:ascii="Arial" w:cs="Arial" w:eastAsia="Arial" w:hAnsi="Arial"/>
                <w:sz w:val="16"/>
                <w:szCs w:val="16"/>
                <w:color w:val="auto"/>
              </w:rPr>
              <w:t>A manufacturer of industrial products as well as serving the concrete forming market in the</w:t>
            </w: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shd w:val="clear" w:color="auto" w:fill="CCEEFF"/>
          </w:tcPr>
          <w:p>
            <w:pPr>
              <w:spacing w:after="0"/>
              <w:rPr>
                <w:sz w:val="17"/>
                <w:szCs w:val="17"/>
                <w:color w:val="auto"/>
              </w:rPr>
            </w:pPr>
          </w:p>
        </w:tc>
        <w:tc>
          <w:tcPr>
            <w:tcW w:w="6460" w:type="dxa"/>
            <w:vAlign w:val="bottom"/>
            <w:tcBorders>
              <w:right w:val="single" w:sz="8" w:color="auto"/>
            </w:tcBorders>
            <w:gridSpan w:val="7"/>
            <w:shd w:val="clear" w:color="auto" w:fill="CCEEFF"/>
          </w:tcPr>
          <w:p>
            <w:pPr>
              <w:spacing w:after="0"/>
              <w:rPr>
                <w:sz w:val="20"/>
                <w:szCs w:val="20"/>
                <w:color w:val="auto"/>
              </w:rPr>
            </w:pPr>
            <w:r>
              <w:rPr>
                <w:rFonts w:ascii="Arial" w:cs="Arial" w:eastAsia="Arial" w:hAnsi="Arial"/>
                <w:sz w:val="16"/>
                <w:szCs w:val="16"/>
                <w:color w:val="auto"/>
              </w:rPr>
              <w:t>Chicago area. Great Northern Lumber had annual sales of approximately $25 million. The</w:t>
            </w: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shd w:val="clear" w:color="auto" w:fill="CCEEFF"/>
          </w:tcPr>
          <w:p>
            <w:pPr>
              <w:spacing w:after="0"/>
              <w:rPr>
                <w:sz w:val="17"/>
                <w:szCs w:val="17"/>
                <w:color w:val="auto"/>
              </w:rPr>
            </w:pPr>
          </w:p>
        </w:tc>
        <w:tc>
          <w:tcPr>
            <w:tcW w:w="6460" w:type="dxa"/>
            <w:vAlign w:val="bottom"/>
            <w:tcBorders>
              <w:right w:val="single" w:sz="8" w:color="auto"/>
            </w:tcBorders>
            <w:gridSpan w:val="7"/>
            <w:shd w:val="clear" w:color="auto" w:fill="CCEEFF"/>
          </w:tcPr>
          <w:p>
            <w:pPr>
              <w:spacing w:after="0"/>
              <w:rPr>
                <w:sz w:val="20"/>
                <w:szCs w:val="20"/>
                <w:color w:val="auto"/>
              </w:rPr>
            </w:pPr>
            <w:r>
              <w:rPr>
                <w:rFonts w:ascii="Arial" w:cs="Arial" w:eastAsia="Arial" w:hAnsi="Arial"/>
                <w:sz w:val="16"/>
                <w:szCs w:val="16"/>
                <w:color w:val="auto"/>
                <w:w w:val="93"/>
              </w:rPr>
              <w:t>acquisition of Great Northern Lumber enables us to expand our concrete forming product offering</w:t>
            </w:r>
          </w:p>
        </w:tc>
        <w:tc>
          <w:tcPr>
            <w:tcW w:w="0" w:type="dxa"/>
            <w:vAlign w:val="bottom"/>
          </w:tcPr>
          <w:p>
            <w:pPr>
              <w:spacing w:after="0"/>
              <w:rPr>
                <w:sz w:val="1"/>
                <w:szCs w:val="1"/>
                <w:color w:val="auto"/>
              </w:rPr>
            </w:pPr>
          </w:p>
        </w:tc>
      </w:tr>
      <w:tr>
        <w:trPr>
          <w:trHeight w:val="219"/>
        </w:trPr>
        <w:tc>
          <w:tcPr>
            <w:tcW w:w="262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520" w:type="dxa"/>
            <w:vAlign w:val="bottom"/>
            <w:tcBorders>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6"/>
                <w:szCs w:val="16"/>
                <w:color w:val="auto"/>
                <w:w w:val="90"/>
              </w:rPr>
              <w:t>and regional coverage.</w:t>
            </w:r>
          </w:p>
        </w:tc>
        <w:tc>
          <w:tcPr>
            <w:tcW w:w="1820" w:type="dxa"/>
            <w:vAlign w:val="bottom"/>
            <w:tcBorders>
              <w:bottom w:val="single" w:sz="8" w:color="auto"/>
              <w:right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right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right w:val="single" w:sz="8" w:color="CCEEFF"/>
            </w:tcBorders>
            <w:shd w:val="clear" w:color="auto" w:fill="CCEEFF"/>
          </w:tcPr>
          <w:p>
            <w:pPr>
              <w:spacing w:after="0"/>
              <w:rPr>
                <w:sz w:val="19"/>
                <w:szCs w:val="19"/>
                <w:color w:val="auto"/>
              </w:rPr>
            </w:pPr>
          </w:p>
        </w:tc>
        <w:tc>
          <w:tcPr>
            <w:tcW w:w="72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620" w:type="dxa"/>
            <w:vAlign w:val="bottom"/>
            <w:tcBorders>
              <w:left w:val="single" w:sz="8" w:color="auto"/>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$931</w:t>
            </w:r>
          </w:p>
        </w:tc>
        <w:tc>
          <w:tcPr>
            <w:tcW w:w="120" w:type="dxa"/>
            <w:vAlign w:val="bottom"/>
          </w:tcPr>
          <w:p>
            <w:pPr>
              <w:spacing w:after="0"/>
              <w:rPr>
                <w:sz w:val="16"/>
                <w:szCs w:val="16"/>
                <w:color w:val="auto"/>
              </w:rPr>
            </w:pPr>
          </w:p>
        </w:tc>
        <w:tc>
          <w:tcPr>
            <w:tcW w:w="11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Borders>
              <w:right w:val="single" w:sz="8" w:color="auto"/>
            </w:tcBorders>
          </w:tcPr>
          <w:p>
            <w:pPr>
              <w:spacing w:after="0"/>
              <w:rPr>
                <w:sz w:val="16"/>
                <w:szCs w:val="16"/>
                <w:color w:val="auto"/>
              </w:rPr>
            </w:pPr>
          </w:p>
        </w:tc>
        <w:tc>
          <w:tcPr>
            <w:tcW w:w="7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tcPr>
          <w:p>
            <w:pPr>
              <w:spacing w:after="0"/>
              <w:rPr>
                <w:sz w:val="17"/>
                <w:szCs w:val="17"/>
                <w:color w:val="auto"/>
              </w:rPr>
            </w:pPr>
          </w:p>
        </w:tc>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2"/>
              </w:rPr>
              <w:t>October 16, 2017</w:t>
            </w:r>
          </w:p>
        </w:tc>
        <w:tc>
          <w:tcPr>
            <w:tcW w:w="1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cash paid for 100% asset</w:t>
            </w: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100" w:type="dxa"/>
            <w:vAlign w:val="bottom"/>
            <w:tcBorders>
              <w:right w:val="single" w:sz="8" w:color="auto"/>
            </w:tcBorders>
          </w:tcPr>
          <w:p>
            <w:pPr>
              <w:jc w:val="right"/>
              <w:ind w:right="19"/>
              <w:spacing w:after="0"/>
              <w:rPr>
                <w:sz w:val="20"/>
                <w:szCs w:val="20"/>
                <w:color w:val="auto"/>
              </w:rPr>
            </w:pPr>
            <w:r>
              <w:rPr>
                <w:rFonts w:ascii="Arial" w:cs="Arial" w:eastAsia="Arial" w:hAnsi="Arial"/>
                <w:sz w:val="16"/>
                <w:szCs w:val="16"/>
                <w:color w:val="auto"/>
              </w:rPr>
              <w:t>909</w:t>
            </w:r>
          </w:p>
        </w:tc>
        <w:tc>
          <w:tcPr>
            <w:tcW w:w="140" w:type="dxa"/>
            <w:vAlign w:val="bottom"/>
          </w:tcPr>
          <w:p>
            <w:pPr>
              <w:jc w:val="right"/>
              <w:ind w:right="75"/>
              <w:spacing w:after="0"/>
              <w:rPr>
                <w:sz w:val="20"/>
                <w:szCs w:val="20"/>
                <w:color w:val="auto"/>
              </w:rPr>
            </w:pPr>
            <w:r>
              <w:rPr>
                <w:rFonts w:ascii="Arial" w:cs="Arial" w:eastAsia="Arial" w:hAnsi="Arial"/>
                <w:sz w:val="5"/>
                <w:szCs w:val="5"/>
                <w:color w:val="auto"/>
                <w:w w:val="70"/>
              </w:rPr>
              <w:t>$</w:t>
            </w:r>
          </w:p>
        </w:tc>
        <w:tc>
          <w:tcPr>
            <w:tcW w:w="10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22</w:t>
            </w:r>
          </w:p>
        </w:tc>
        <w:tc>
          <w:tcPr>
            <w:tcW w:w="7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9"/>
              </w:rPr>
              <w:t>All Other</w:t>
            </w:r>
          </w:p>
        </w:tc>
        <w:tc>
          <w:tcPr>
            <w:tcW w:w="0" w:type="dxa"/>
            <w:vAlign w:val="bottom"/>
          </w:tcPr>
          <w:p>
            <w:pPr>
              <w:spacing w:after="0"/>
              <w:rPr>
                <w:sz w:val="1"/>
                <w:szCs w:val="1"/>
                <w:color w:val="auto"/>
              </w:rPr>
            </w:pPr>
          </w:p>
        </w:tc>
      </w:tr>
      <w:tr>
        <w:trPr>
          <w:trHeight w:val="209"/>
        </w:trPr>
        <w:tc>
          <w:tcPr>
            <w:tcW w:w="26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5"/>
              </w:rPr>
              <w:t>Silverwater Box</w:t>
            </w:r>
          </w:p>
        </w:tc>
        <w:tc>
          <w:tcPr>
            <w:tcW w:w="1520" w:type="dxa"/>
            <w:vAlign w:val="bottom"/>
            <w:tcBorders>
              <w:bottom w:val="single" w:sz="8" w:color="auto"/>
              <w:right w:val="single" w:sz="8" w:color="auto"/>
            </w:tcBorders>
          </w:tcPr>
          <w:p>
            <w:pPr>
              <w:spacing w:after="0"/>
              <w:rPr>
                <w:sz w:val="18"/>
                <w:szCs w:val="18"/>
                <w:color w:val="auto"/>
              </w:rPr>
            </w:pPr>
          </w:p>
        </w:tc>
        <w:tc>
          <w:tcPr>
            <w:tcW w:w="1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purchase</w:t>
            </w: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40" w:type="dxa"/>
            <w:vAlign w:val="bottom"/>
            <w:tcBorders>
              <w:bottom w:val="single" w:sz="8" w:color="auto"/>
              <w:right w:val="single" w:sz="8" w:color="auto"/>
            </w:tcBorders>
          </w:tcPr>
          <w:p>
            <w:pPr>
              <w:spacing w:after="0"/>
              <w:rPr>
                <w:sz w:val="18"/>
                <w:szCs w:val="18"/>
                <w:color w:val="auto"/>
              </w:rPr>
            </w:pPr>
          </w:p>
        </w:tc>
        <w:tc>
          <w:tcPr>
            <w:tcW w:w="7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20" w:type="dxa"/>
            <w:vAlign w:val="bottom"/>
            <w:tcBorders>
              <w:left w:val="single" w:sz="8" w:color="auto"/>
              <w:right w:val="single" w:sz="8" w:color="auto"/>
            </w:tcBorders>
            <w:vMerge w:val="continue"/>
          </w:tcPr>
          <w:p>
            <w:pPr>
              <w:spacing w:after="0"/>
              <w:rPr>
                <w:sz w:val="16"/>
                <w:szCs w:val="16"/>
                <w:color w:val="auto"/>
              </w:rPr>
            </w:pPr>
          </w:p>
        </w:tc>
        <w:tc>
          <w:tcPr>
            <w:tcW w:w="646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3"/>
              </w:rPr>
              <w:t>A manufacturer and distributor of total packaging solutions in timber, plastic, steel, fiberglass, and</w:t>
            </w: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tcPr>
          <w:p>
            <w:pPr>
              <w:spacing w:after="0"/>
              <w:rPr>
                <w:sz w:val="17"/>
                <w:szCs w:val="17"/>
                <w:color w:val="auto"/>
              </w:rPr>
            </w:pPr>
          </w:p>
        </w:tc>
        <w:tc>
          <w:tcPr>
            <w:tcW w:w="646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7"/>
              </w:rPr>
              <w:t>cardboard. Silverwater Box had annual sales of approximately $2.8 million. The acquisition of</w:t>
            </w: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tcPr>
          <w:p>
            <w:pPr>
              <w:spacing w:after="0"/>
              <w:rPr>
                <w:sz w:val="17"/>
                <w:szCs w:val="17"/>
                <w:color w:val="auto"/>
              </w:rPr>
            </w:pPr>
          </w:p>
        </w:tc>
        <w:tc>
          <w:tcPr>
            <w:tcW w:w="646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rPr>
              <w:t>Silverwater Box allows us to make progress on our goal of becoming a global provider of</w:t>
            </w:r>
          </w:p>
        </w:tc>
        <w:tc>
          <w:tcPr>
            <w:tcW w:w="0" w:type="dxa"/>
            <w:vAlign w:val="bottom"/>
          </w:tcPr>
          <w:p>
            <w:pPr>
              <w:spacing w:after="0"/>
              <w:rPr>
                <w:sz w:val="1"/>
                <w:szCs w:val="1"/>
                <w:color w:val="auto"/>
              </w:rPr>
            </w:pPr>
          </w:p>
        </w:tc>
      </w:tr>
      <w:tr>
        <w:trPr>
          <w:trHeight w:val="219"/>
        </w:trPr>
        <w:tc>
          <w:tcPr>
            <w:tcW w:w="2620" w:type="dxa"/>
            <w:vAlign w:val="bottom"/>
            <w:tcBorders>
              <w:left w:val="single" w:sz="8" w:color="auto"/>
              <w:bottom w:val="single" w:sz="8" w:color="auto"/>
              <w:right w:val="single" w:sz="8" w:color="auto"/>
            </w:tcBorders>
          </w:tcPr>
          <w:p>
            <w:pPr>
              <w:spacing w:after="0"/>
              <w:rPr>
                <w:sz w:val="19"/>
                <w:szCs w:val="19"/>
                <w:color w:val="auto"/>
              </w:rPr>
            </w:pPr>
          </w:p>
        </w:tc>
        <w:tc>
          <w:tcPr>
            <w:tcW w:w="15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packaging solutions.</w:t>
            </w:r>
          </w:p>
        </w:tc>
        <w:tc>
          <w:tcPr>
            <w:tcW w:w="18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7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2620" w:type="dxa"/>
            <w:vAlign w:val="bottom"/>
            <w:tcBorders>
              <w:left w:val="single" w:sz="8" w:color="auto"/>
              <w:right w:val="single" w:sz="8" w:color="auto"/>
            </w:tcBorders>
            <w:shd w:val="clear" w:color="auto" w:fill="CCEEFF"/>
          </w:tcPr>
          <w:p>
            <w:pPr>
              <w:spacing w:after="0"/>
              <w:rPr>
                <w:sz w:val="16"/>
                <w:szCs w:val="16"/>
                <w:color w:val="auto"/>
              </w:rPr>
            </w:pPr>
          </w:p>
        </w:tc>
        <w:tc>
          <w:tcPr>
            <w:tcW w:w="1520" w:type="dxa"/>
            <w:vAlign w:val="bottom"/>
            <w:tcBorders>
              <w:right w:val="single" w:sz="8" w:color="auto"/>
            </w:tcBorders>
            <w:shd w:val="clear" w:color="auto" w:fill="CCEEFF"/>
          </w:tcPr>
          <w:p>
            <w:pPr>
              <w:spacing w:after="0"/>
              <w:rPr>
                <w:sz w:val="16"/>
                <w:szCs w:val="16"/>
                <w:color w:val="auto"/>
              </w:rPr>
            </w:pPr>
          </w:p>
        </w:tc>
        <w:tc>
          <w:tcPr>
            <w:tcW w:w="18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9"/>
              </w:rPr>
              <w:t>$5,042</w:t>
            </w:r>
          </w:p>
        </w:tc>
        <w:tc>
          <w:tcPr>
            <w:tcW w:w="120" w:type="dxa"/>
            <w:vAlign w:val="bottom"/>
            <w:shd w:val="clear" w:color="auto" w:fill="CCEEFF"/>
          </w:tcPr>
          <w:p>
            <w:pPr>
              <w:spacing w:after="0"/>
              <w:rPr>
                <w:sz w:val="16"/>
                <w:szCs w:val="16"/>
                <w:color w:val="auto"/>
              </w:rPr>
            </w:pPr>
          </w:p>
        </w:tc>
        <w:tc>
          <w:tcPr>
            <w:tcW w:w="1100" w:type="dxa"/>
            <w:vAlign w:val="bottom"/>
            <w:tcBorders>
              <w:right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tcBorders>
              <w:right w:val="single" w:sz="8" w:color="auto"/>
            </w:tcBorders>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shd w:val="clear" w:color="auto" w:fill="CCEEFF"/>
          </w:tcPr>
          <w:p>
            <w:pPr>
              <w:spacing w:after="0"/>
              <w:rPr>
                <w:sz w:val="17"/>
                <w:szCs w:val="17"/>
                <w:color w:val="auto"/>
              </w:rPr>
            </w:pPr>
          </w:p>
        </w:tc>
        <w:tc>
          <w:tcPr>
            <w:tcW w:w="15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2"/>
              </w:rPr>
              <w:t>May 26, 2017</w:t>
            </w:r>
          </w:p>
        </w:tc>
        <w:tc>
          <w:tcPr>
            <w:tcW w:w="18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cash paid for 100% asset</w:t>
            </w: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100" w:type="dxa"/>
            <w:vAlign w:val="bottom"/>
            <w:tcBorders>
              <w:right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4,880</w:t>
            </w:r>
          </w:p>
        </w:tc>
        <w:tc>
          <w:tcPr>
            <w:tcW w:w="140" w:type="dxa"/>
            <w:vAlign w:val="bottom"/>
            <w:shd w:val="clear" w:color="auto" w:fill="CCEEFF"/>
          </w:tcPr>
          <w:p>
            <w:pPr>
              <w:jc w:val="right"/>
              <w:ind w:right="75"/>
              <w:spacing w:after="0"/>
              <w:rPr>
                <w:sz w:val="20"/>
                <w:szCs w:val="20"/>
                <w:color w:val="auto"/>
              </w:rPr>
            </w:pPr>
            <w:r>
              <w:rPr>
                <w:rFonts w:ascii="Arial" w:cs="Arial" w:eastAsia="Arial" w:hAnsi="Arial"/>
                <w:sz w:val="5"/>
                <w:szCs w:val="5"/>
                <w:color w:val="auto"/>
                <w:w w:val="70"/>
              </w:rPr>
              <w:t>$</w:t>
            </w:r>
          </w:p>
        </w:tc>
        <w:tc>
          <w:tcPr>
            <w:tcW w:w="10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w:t>
            </w:r>
          </w:p>
        </w:tc>
        <w:tc>
          <w:tcPr>
            <w:tcW w:w="72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South</w:t>
            </w:r>
          </w:p>
        </w:tc>
        <w:tc>
          <w:tcPr>
            <w:tcW w:w="0" w:type="dxa"/>
            <w:vAlign w:val="bottom"/>
          </w:tcPr>
          <w:p>
            <w:pPr>
              <w:spacing w:after="0"/>
              <w:rPr>
                <w:sz w:val="1"/>
                <w:szCs w:val="1"/>
                <w:color w:val="auto"/>
              </w:rPr>
            </w:pPr>
          </w:p>
        </w:tc>
      </w:tr>
      <w:tr>
        <w:trPr>
          <w:trHeight w:val="209"/>
        </w:trPr>
        <w:tc>
          <w:tcPr>
            <w:tcW w:w="2620" w:type="dxa"/>
            <w:vAlign w:val="bottom"/>
            <w:tcBorders>
              <w:left w:val="single" w:sz="8" w:color="auto"/>
              <w:bottom w:val="single" w:sz="8" w:color="CCEEFF"/>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color w:val="auto"/>
                <w:w w:val="96"/>
              </w:rPr>
              <w:t>Go Boy Pallets, LLC ("Go Boy")</w:t>
            </w:r>
          </w:p>
        </w:tc>
        <w:tc>
          <w:tcPr>
            <w:tcW w:w="1520" w:type="dxa"/>
            <w:vAlign w:val="bottom"/>
            <w:tcBorders>
              <w:bottom w:val="single" w:sz="8" w:color="auto"/>
              <w:right w:val="single" w:sz="8" w:color="auto"/>
            </w:tcBorders>
            <w:shd w:val="clear" w:color="auto" w:fill="CCEEFF"/>
          </w:tcPr>
          <w:p>
            <w:pPr>
              <w:spacing w:after="0"/>
              <w:rPr>
                <w:sz w:val="18"/>
                <w:szCs w:val="18"/>
                <w:color w:val="auto"/>
              </w:rPr>
            </w:pPr>
          </w:p>
        </w:tc>
        <w:tc>
          <w:tcPr>
            <w:tcW w:w="1820" w:type="dxa"/>
            <w:vAlign w:val="bottom"/>
            <w:tcBorders>
              <w:bottom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8"/>
              </w:rPr>
              <w:t>purchase</w:t>
            </w:r>
          </w:p>
        </w:tc>
        <w:tc>
          <w:tcPr>
            <w:tcW w:w="1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right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right w:val="single" w:sz="8" w:color="auto"/>
            </w:tcBorders>
            <w:shd w:val="clear" w:color="auto" w:fill="CCEEFF"/>
          </w:tcPr>
          <w:p>
            <w:pPr>
              <w:spacing w:after="0"/>
              <w:rPr>
                <w:sz w:val="18"/>
                <w:szCs w:val="18"/>
                <w:color w:val="auto"/>
              </w:rPr>
            </w:pPr>
          </w:p>
        </w:tc>
        <w:tc>
          <w:tcPr>
            <w:tcW w:w="720" w:type="dxa"/>
            <w:vAlign w:val="bottom"/>
            <w:tcBorders>
              <w:bottom w:val="single" w:sz="8" w:color="auto"/>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20" w:type="dxa"/>
            <w:vAlign w:val="bottom"/>
            <w:tcBorders>
              <w:left w:val="single" w:sz="8" w:color="auto"/>
              <w:right w:val="single" w:sz="8" w:color="auto"/>
            </w:tcBorders>
            <w:vMerge w:val="continue"/>
            <w:shd w:val="clear" w:color="auto" w:fill="CCEEFF"/>
          </w:tcPr>
          <w:p>
            <w:pPr>
              <w:spacing w:after="0"/>
              <w:rPr>
                <w:sz w:val="16"/>
                <w:szCs w:val="16"/>
                <w:color w:val="auto"/>
              </w:rPr>
            </w:pPr>
          </w:p>
        </w:tc>
        <w:tc>
          <w:tcPr>
            <w:tcW w:w="5740" w:type="dxa"/>
            <w:vAlign w:val="bottom"/>
            <w:tcBorders>
              <w:right w:val="single" w:sz="8" w:color="CCEEFF"/>
            </w:tcBorders>
            <w:gridSpan w:val="6"/>
            <w:shd w:val="clear" w:color="auto" w:fill="CCEEFF"/>
          </w:tcPr>
          <w:p>
            <w:pPr>
              <w:spacing w:after="0"/>
              <w:rPr>
                <w:sz w:val="20"/>
                <w:szCs w:val="20"/>
                <w:color w:val="auto"/>
              </w:rPr>
            </w:pPr>
            <w:r>
              <w:rPr>
                <w:rFonts w:ascii="Arial" w:cs="Arial" w:eastAsia="Arial" w:hAnsi="Arial"/>
                <w:sz w:val="16"/>
                <w:szCs w:val="16"/>
                <w:color w:val="auto"/>
                <w:w w:val="92"/>
              </w:rPr>
              <w:t>A manufacturer and distributor of industrial pallets and packaging in Georgia and North</w:t>
            </w:r>
          </w:p>
        </w:tc>
        <w:tc>
          <w:tcPr>
            <w:tcW w:w="72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620" w:type="dxa"/>
            <w:vAlign w:val="bottom"/>
            <w:tcBorders>
              <w:left w:val="single" w:sz="8" w:color="auto"/>
              <w:right w:val="single" w:sz="8" w:color="auto"/>
            </w:tcBorders>
            <w:shd w:val="clear" w:color="auto" w:fill="CCEEFF"/>
          </w:tcPr>
          <w:p>
            <w:pPr>
              <w:spacing w:after="0"/>
              <w:rPr>
                <w:sz w:val="17"/>
                <w:szCs w:val="17"/>
                <w:color w:val="auto"/>
              </w:rPr>
            </w:pPr>
          </w:p>
        </w:tc>
        <w:tc>
          <w:tcPr>
            <w:tcW w:w="6460" w:type="dxa"/>
            <w:vAlign w:val="bottom"/>
            <w:tcBorders>
              <w:right w:val="single" w:sz="8" w:color="auto"/>
            </w:tcBorders>
            <w:gridSpan w:val="7"/>
            <w:shd w:val="clear" w:color="auto" w:fill="CCEEFF"/>
          </w:tcPr>
          <w:p>
            <w:pPr>
              <w:spacing w:after="0"/>
              <w:rPr>
                <w:sz w:val="20"/>
                <w:szCs w:val="20"/>
                <w:color w:val="auto"/>
              </w:rPr>
            </w:pPr>
            <w:r>
              <w:rPr>
                <w:rFonts w:ascii="Arial" w:cs="Arial" w:eastAsia="Arial" w:hAnsi="Arial"/>
                <w:sz w:val="16"/>
                <w:szCs w:val="16"/>
                <w:color w:val="auto"/>
              </w:rPr>
              <w:t>Carolina. Go Boy had annual sales of approximately $8 million. The acquisition of Go Boy</w:t>
            </w:r>
          </w:p>
        </w:tc>
        <w:tc>
          <w:tcPr>
            <w:tcW w:w="0" w:type="dxa"/>
            <w:vAlign w:val="bottom"/>
          </w:tcPr>
          <w:p>
            <w:pPr>
              <w:spacing w:after="0"/>
              <w:rPr>
                <w:sz w:val="1"/>
                <w:szCs w:val="1"/>
                <w:color w:val="auto"/>
              </w:rPr>
            </w:pPr>
          </w:p>
        </w:tc>
      </w:tr>
      <w:tr>
        <w:trPr>
          <w:trHeight w:val="212"/>
        </w:trPr>
        <w:tc>
          <w:tcPr>
            <w:tcW w:w="2620" w:type="dxa"/>
            <w:vAlign w:val="bottom"/>
            <w:tcBorders>
              <w:left w:val="single" w:sz="8" w:color="auto"/>
              <w:right w:val="single" w:sz="8" w:color="auto"/>
            </w:tcBorders>
            <w:shd w:val="clear" w:color="auto" w:fill="CCEEFF"/>
          </w:tcPr>
          <w:p>
            <w:pPr>
              <w:spacing w:after="0"/>
              <w:rPr>
                <w:sz w:val="18"/>
                <w:szCs w:val="18"/>
                <w:color w:val="auto"/>
              </w:rPr>
            </w:pPr>
          </w:p>
        </w:tc>
        <w:tc>
          <w:tcPr>
            <w:tcW w:w="6460" w:type="dxa"/>
            <w:vAlign w:val="bottom"/>
            <w:tcBorders>
              <w:right w:val="single" w:sz="8" w:color="auto"/>
            </w:tcBorders>
            <w:gridSpan w:val="7"/>
            <w:shd w:val="clear" w:color="auto" w:fill="CCEEFF"/>
          </w:tcPr>
          <w:p>
            <w:pPr>
              <w:spacing w:after="0"/>
              <w:rPr>
                <w:sz w:val="20"/>
                <w:szCs w:val="20"/>
                <w:color w:val="auto"/>
              </w:rPr>
            </w:pPr>
            <w:r>
              <w:rPr>
                <w:rFonts w:ascii="Arial" w:cs="Arial" w:eastAsia="Arial" w:hAnsi="Arial"/>
                <w:sz w:val="16"/>
                <w:szCs w:val="16"/>
                <w:color w:val="auto"/>
                <w:w w:val="92"/>
              </w:rPr>
              <w:t>enabled us to expand our industrial packaging product offering and lumber sourcing in this region.</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44" w:lineRule="exact"/>
        <w:rPr>
          <w:sz w:val="20"/>
          <w:szCs w:val="20"/>
          <w:color w:val="auto"/>
        </w:rPr>
      </w:pPr>
    </w:p>
    <w:tbl>
      <w:tblPr>
        <w:tblLayout w:type="fixed"/>
        <w:tblInd w:w="10" w:type="dxa"/>
        <w:tblCellMar>
          <w:top w:w="0" w:type="dxa"/>
          <w:left w:w="0" w:type="dxa"/>
          <w:bottom w:w="0" w:type="dxa"/>
          <w:right w:w="0" w:type="dxa"/>
        </w:tblCellMar>
      </w:tblPr>
      <w:tr>
        <w:trPr>
          <w:trHeight w:val="193"/>
        </w:trPr>
        <w:tc>
          <w:tcPr>
            <w:tcW w:w="2720" w:type="dxa"/>
            <w:vAlign w:val="bottom"/>
            <w:tcBorders>
              <w:left w:val="single" w:sz="8" w:color="auto"/>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3"/>
              </w:rPr>
              <w:t>$31,818</w:t>
            </w:r>
          </w:p>
        </w:tc>
        <w:tc>
          <w:tcPr>
            <w:tcW w:w="400" w:type="dxa"/>
            <w:vAlign w:val="bottom"/>
          </w:tcPr>
          <w:p>
            <w:pPr>
              <w:spacing w:after="0"/>
              <w:rPr>
                <w:sz w:val="16"/>
                <w:szCs w:val="16"/>
                <w:color w:val="auto"/>
              </w:rPr>
            </w:pPr>
          </w:p>
        </w:tc>
        <w:tc>
          <w:tcPr>
            <w:tcW w:w="820" w:type="dxa"/>
            <w:vAlign w:val="bottom"/>
            <w:tcBorders>
              <w:right w:val="single" w:sz="8" w:color="auto"/>
            </w:tcBorders>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Borders>
              <w:right w:val="single" w:sz="8" w:color="auto"/>
            </w:tcBorders>
          </w:tcPr>
          <w:p>
            <w:pPr>
              <w:spacing w:after="0"/>
              <w:rPr>
                <w:sz w:val="16"/>
                <w:szCs w:val="16"/>
                <w:color w:val="auto"/>
              </w:rPr>
            </w:pP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20" w:type="dxa"/>
            <w:vAlign w:val="bottom"/>
            <w:tcBorders>
              <w:left w:val="single" w:sz="8" w:color="auto"/>
              <w:right w:val="single" w:sz="8" w:color="auto"/>
            </w:tcBorders>
          </w:tcPr>
          <w:p>
            <w:pPr>
              <w:spacing w:after="0"/>
              <w:rPr>
                <w:sz w:val="17"/>
                <w:szCs w:val="17"/>
                <w:color w:val="auto"/>
              </w:rPr>
            </w:pPr>
          </w:p>
        </w:tc>
        <w:tc>
          <w:tcPr>
            <w:tcW w:w="1520" w:type="dxa"/>
            <w:vAlign w:val="bottom"/>
            <w:tcBorders>
              <w:right w:val="single" w:sz="8" w:color="auto"/>
            </w:tcBorders>
          </w:tcPr>
          <w:p>
            <w:pPr>
              <w:ind w:left="260"/>
              <w:spacing w:after="0"/>
              <w:rPr>
                <w:sz w:val="20"/>
                <w:szCs w:val="20"/>
                <w:color w:val="auto"/>
              </w:rPr>
            </w:pPr>
            <w:r>
              <w:rPr>
                <w:rFonts w:ascii="Arial" w:cs="Arial" w:eastAsia="Arial" w:hAnsi="Arial"/>
                <w:sz w:val="16"/>
                <w:szCs w:val="16"/>
                <w:color w:val="auto"/>
              </w:rPr>
              <w:t>March 6, 2017</w:t>
            </w:r>
          </w:p>
        </w:tc>
        <w:tc>
          <w:tcPr>
            <w:tcW w:w="184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90"/>
              </w:rPr>
              <w:t>cash paid for 100% asset</w:t>
            </w:r>
          </w:p>
        </w:tc>
        <w:tc>
          <w:tcPr>
            <w:tcW w:w="400" w:type="dxa"/>
            <w:vAlign w:val="bottom"/>
          </w:tcPr>
          <w:p>
            <w:pPr>
              <w:jc w:val="right"/>
              <w:ind w:right="244"/>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7,653</w:t>
            </w:r>
          </w:p>
        </w:tc>
        <w:tc>
          <w:tcPr>
            <w:tcW w:w="380" w:type="dxa"/>
            <w:vAlign w:val="bottom"/>
          </w:tcPr>
          <w:p>
            <w:pPr>
              <w:jc w:val="right"/>
              <w:ind w:right="224"/>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auto"/>
            </w:tcBorders>
          </w:tcPr>
          <w:p>
            <w:pPr>
              <w:jc w:val="right"/>
              <w:spacing w:after="0"/>
              <w:rPr>
                <w:sz w:val="20"/>
                <w:szCs w:val="20"/>
                <w:color w:val="auto"/>
              </w:rPr>
            </w:pPr>
            <w:r>
              <w:rPr>
                <w:rFonts w:ascii="Arial" w:cs="Arial" w:eastAsia="Arial" w:hAnsi="Arial"/>
                <w:sz w:val="16"/>
                <w:szCs w:val="16"/>
                <w:color w:val="auto"/>
              </w:rPr>
              <w:t>24,165</w:t>
            </w:r>
          </w:p>
        </w:tc>
        <w:tc>
          <w:tcPr>
            <w:tcW w:w="56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South</w:t>
            </w:r>
          </w:p>
        </w:tc>
        <w:tc>
          <w:tcPr>
            <w:tcW w:w="0" w:type="dxa"/>
            <w:vAlign w:val="bottom"/>
          </w:tcPr>
          <w:p>
            <w:pPr>
              <w:spacing w:after="0"/>
              <w:rPr>
                <w:sz w:val="1"/>
                <w:szCs w:val="1"/>
                <w:color w:val="auto"/>
              </w:rPr>
            </w:pPr>
          </w:p>
        </w:tc>
      </w:tr>
      <w:tr>
        <w:trPr>
          <w:trHeight w:val="209"/>
        </w:trPr>
        <w:tc>
          <w:tcPr>
            <w:tcW w:w="27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color w:val="auto"/>
                <w:w w:val="94"/>
              </w:rPr>
              <w:t>Robbins Manufacturing Co. ("Robbins")</w:t>
            </w:r>
          </w:p>
        </w:tc>
        <w:tc>
          <w:tcPr>
            <w:tcW w:w="1520" w:type="dxa"/>
            <w:vAlign w:val="bottom"/>
            <w:tcBorders>
              <w:bottom w:val="single" w:sz="8" w:color="auto"/>
              <w:right w:val="single" w:sz="8" w:color="auto"/>
            </w:tcBorders>
          </w:tcPr>
          <w:p>
            <w:pPr>
              <w:spacing w:after="0"/>
              <w:rPr>
                <w:sz w:val="18"/>
                <w:szCs w:val="18"/>
                <w:color w:val="auto"/>
              </w:rPr>
            </w:pPr>
          </w:p>
        </w:tc>
        <w:tc>
          <w:tcPr>
            <w:tcW w:w="18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8"/>
              </w:rPr>
              <w:t>purchase</w:t>
            </w:r>
          </w:p>
        </w:tc>
        <w:tc>
          <w:tcPr>
            <w:tcW w:w="400" w:type="dxa"/>
            <w:vAlign w:val="bottom"/>
            <w:tcBorders>
              <w:bottom w:val="single" w:sz="8" w:color="auto"/>
            </w:tcBorders>
          </w:tcPr>
          <w:p>
            <w:pPr>
              <w:spacing w:after="0"/>
              <w:rPr>
                <w:sz w:val="18"/>
                <w:szCs w:val="18"/>
                <w:color w:val="auto"/>
              </w:rPr>
            </w:pPr>
          </w:p>
        </w:tc>
        <w:tc>
          <w:tcPr>
            <w:tcW w:w="820" w:type="dxa"/>
            <w:vAlign w:val="bottom"/>
            <w:tcBorders>
              <w:bottom w:val="single" w:sz="8" w:color="auto"/>
              <w:right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40" w:type="dxa"/>
            <w:vAlign w:val="bottom"/>
            <w:tcBorders>
              <w:bottom w:val="single" w:sz="8" w:color="auto"/>
              <w:right w:val="single" w:sz="8" w:color="auto"/>
            </w:tcBorders>
          </w:tcPr>
          <w:p>
            <w:pPr>
              <w:spacing w:after="0"/>
              <w:rPr>
                <w:sz w:val="18"/>
                <w:szCs w:val="18"/>
                <w:color w:val="auto"/>
              </w:rPr>
            </w:pPr>
          </w:p>
        </w:tc>
        <w:tc>
          <w:tcPr>
            <w:tcW w:w="56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720" w:type="dxa"/>
            <w:vAlign w:val="bottom"/>
            <w:tcBorders>
              <w:left w:val="single" w:sz="8" w:color="auto"/>
              <w:right w:val="single" w:sz="8" w:color="auto"/>
            </w:tcBorders>
            <w:vMerge w:val="continue"/>
          </w:tcPr>
          <w:p>
            <w:pPr>
              <w:spacing w:after="0"/>
              <w:rPr>
                <w:sz w:val="16"/>
                <w:szCs w:val="16"/>
                <w:color w:val="auto"/>
              </w:rPr>
            </w:pPr>
          </w:p>
        </w:tc>
        <w:tc>
          <w:tcPr>
            <w:tcW w:w="5800" w:type="dxa"/>
            <w:vAlign w:val="bottom"/>
            <w:gridSpan w:val="6"/>
          </w:tcPr>
          <w:p>
            <w:pPr>
              <w:spacing w:after="0"/>
              <w:rPr>
                <w:sz w:val="20"/>
                <w:szCs w:val="20"/>
                <w:color w:val="auto"/>
              </w:rPr>
            </w:pPr>
            <w:r>
              <w:rPr>
                <w:rFonts w:ascii="Arial" w:cs="Arial" w:eastAsia="Arial" w:hAnsi="Arial"/>
                <w:sz w:val="16"/>
                <w:szCs w:val="16"/>
                <w:color w:val="auto"/>
                <w:w w:val="96"/>
              </w:rPr>
              <w:t>A manufacturer of treated wood products with facilities in Florida, Georgia, and North</w:t>
            </w:r>
          </w:p>
        </w:tc>
        <w:tc>
          <w:tcPr>
            <w:tcW w:w="5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20" w:type="dxa"/>
            <w:vAlign w:val="bottom"/>
            <w:tcBorders>
              <w:left w:val="single" w:sz="8" w:color="auto"/>
              <w:right w:val="single" w:sz="8" w:color="auto"/>
            </w:tcBorders>
          </w:tcPr>
          <w:p>
            <w:pPr>
              <w:spacing w:after="0"/>
              <w:rPr>
                <w:sz w:val="17"/>
                <w:szCs w:val="17"/>
                <w:color w:val="auto"/>
              </w:rPr>
            </w:pPr>
          </w:p>
        </w:tc>
        <w:tc>
          <w:tcPr>
            <w:tcW w:w="6360" w:type="dxa"/>
            <w:vAlign w:val="bottom"/>
            <w:tcBorders>
              <w:right w:val="single" w:sz="8" w:color="auto"/>
            </w:tcBorders>
            <w:gridSpan w:val="7"/>
          </w:tcPr>
          <w:p>
            <w:pPr>
              <w:spacing w:after="0"/>
              <w:rPr>
                <w:sz w:val="20"/>
                <w:szCs w:val="20"/>
                <w:color w:val="auto"/>
              </w:rPr>
            </w:pPr>
            <w:r>
              <w:rPr>
                <w:rFonts w:ascii="Arial" w:cs="Arial" w:eastAsia="Arial" w:hAnsi="Arial"/>
                <w:sz w:val="16"/>
                <w:szCs w:val="16"/>
                <w:color w:val="auto"/>
                <w:w w:val="96"/>
              </w:rPr>
              <w:t>Carolina. Robbins had annual sales of approximately $86 million. The acquisition of Robbins</w:t>
            </w:r>
          </w:p>
        </w:tc>
        <w:tc>
          <w:tcPr>
            <w:tcW w:w="0" w:type="dxa"/>
            <w:vAlign w:val="bottom"/>
          </w:tcPr>
          <w:p>
            <w:pPr>
              <w:spacing w:after="0"/>
              <w:rPr>
                <w:sz w:val="1"/>
                <w:szCs w:val="1"/>
                <w:color w:val="auto"/>
              </w:rPr>
            </w:pPr>
          </w:p>
        </w:tc>
      </w:tr>
      <w:tr>
        <w:trPr>
          <w:trHeight w:val="219"/>
        </w:trPr>
        <w:tc>
          <w:tcPr>
            <w:tcW w:w="2720" w:type="dxa"/>
            <w:vAlign w:val="bottom"/>
            <w:tcBorders>
              <w:left w:val="single" w:sz="8" w:color="auto"/>
              <w:bottom w:val="single" w:sz="8" w:color="auto"/>
              <w:right w:val="single" w:sz="8" w:color="auto"/>
            </w:tcBorders>
          </w:tcPr>
          <w:p>
            <w:pPr>
              <w:spacing w:after="0"/>
              <w:rPr>
                <w:sz w:val="19"/>
                <w:szCs w:val="19"/>
                <w:color w:val="auto"/>
              </w:rPr>
            </w:pPr>
          </w:p>
        </w:tc>
        <w:tc>
          <w:tcPr>
            <w:tcW w:w="6360" w:type="dxa"/>
            <w:vAlign w:val="bottom"/>
            <w:tcBorders>
              <w:bottom w:val="single" w:sz="8" w:color="auto"/>
              <w:right w:val="single" w:sz="8" w:color="auto"/>
            </w:tcBorders>
            <w:gridSpan w:val="7"/>
          </w:tcPr>
          <w:p>
            <w:pPr>
              <w:spacing w:after="0"/>
              <w:rPr>
                <w:sz w:val="20"/>
                <w:szCs w:val="20"/>
                <w:color w:val="auto"/>
              </w:rPr>
            </w:pPr>
            <w:r>
              <w:rPr>
                <w:rFonts w:ascii="Arial" w:cs="Arial" w:eastAsia="Arial" w:hAnsi="Arial"/>
                <w:sz w:val="16"/>
                <w:szCs w:val="16"/>
                <w:color w:val="auto"/>
                <w:w w:val="97"/>
              </w:rPr>
              <w:t>allowed us to expand our presence in this region and serve customers more cost effectively.</w:t>
            </w:r>
          </w:p>
        </w:tc>
        <w:tc>
          <w:tcPr>
            <w:tcW w:w="0" w:type="dxa"/>
            <w:vAlign w:val="bottom"/>
          </w:tcPr>
          <w:p>
            <w:pPr>
              <w:spacing w:after="0"/>
              <w:rPr>
                <w:sz w:val="1"/>
                <w:szCs w:val="1"/>
                <w:color w:val="auto"/>
              </w:rPr>
            </w:pPr>
          </w:p>
        </w:tc>
      </w:tr>
      <w:tr>
        <w:trPr>
          <w:trHeight w:val="193"/>
        </w:trPr>
        <w:tc>
          <w:tcPr>
            <w:tcW w:w="2720" w:type="dxa"/>
            <w:vAlign w:val="bottom"/>
            <w:tcBorders>
              <w:left w:val="single" w:sz="8" w:color="auto"/>
              <w:right w:val="single" w:sz="8" w:color="auto"/>
            </w:tcBorders>
            <w:shd w:val="clear" w:color="auto" w:fill="CCEEFF"/>
          </w:tcPr>
          <w:p>
            <w:pPr>
              <w:spacing w:after="0"/>
              <w:rPr>
                <w:sz w:val="16"/>
                <w:szCs w:val="16"/>
                <w:color w:val="auto"/>
              </w:rPr>
            </w:pPr>
          </w:p>
        </w:tc>
        <w:tc>
          <w:tcPr>
            <w:tcW w:w="1520" w:type="dxa"/>
            <w:vAlign w:val="bottom"/>
            <w:tcBorders>
              <w:right w:val="single" w:sz="8" w:color="auto"/>
            </w:tcBorders>
            <w:shd w:val="clear" w:color="auto" w:fill="CCEEFF"/>
          </w:tcPr>
          <w:p>
            <w:pPr>
              <w:spacing w:after="0"/>
              <w:rPr>
                <w:sz w:val="16"/>
                <w:szCs w:val="16"/>
                <w:color w:val="auto"/>
              </w:rPr>
            </w:pPr>
          </w:p>
        </w:tc>
        <w:tc>
          <w:tcPr>
            <w:tcW w:w="18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3"/>
              </w:rPr>
              <w:t>$22,789</w:t>
            </w:r>
          </w:p>
        </w:tc>
        <w:tc>
          <w:tcPr>
            <w:tcW w:w="400" w:type="dxa"/>
            <w:vAlign w:val="bottom"/>
            <w:shd w:val="clear" w:color="auto" w:fill="CCEEFF"/>
          </w:tcPr>
          <w:p>
            <w:pPr>
              <w:spacing w:after="0"/>
              <w:rPr>
                <w:sz w:val="16"/>
                <w:szCs w:val="16"/>
                <w:color w:val="auto"/>
              </w:rPr>
            </w:pPr>
          </w:p>
        </w:tc>
        <w:tc>
          <w:tcPr>
            <w:tcW w:w="820" w:type="dxa"/>
            <w:vAlign w:val="bottom"/>
            <w:tcBorders>
              <w:right w:val="single" w:sz="8" w:color="auto"/>
            </w:tcBorders>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tcBorders>
              <w:right w:val="single" w:sz="8" w:color="auto"/>
            </w:tcBorders>
            <w:shd w:val="clear" w:color="auto" w:fill="CCEEFF"/>
          </w:tcPr>
          <w:p>
            <w:pPr>
              <w:spacing w:after="0"/>
              <w:rPr>
                <w:sz w:val="16"/>
                <w:szCs w:val="16"/>
                <w:color w:val="auto"/>
              </w:rPr>
            </w:pPr>
          </w:p>
        </w:tc>
        <w:tc>
          <w:tcPr>
            <w:tcW w:w="560" w:type="dxa"/>
            <w:vAlign w:val="bottom"/>
            <w:tcBorders>
              <w:right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720" w:type="dxa"/>
            <w:vAlign w:val="bottom"/>
            <w:tcBorders>
              <w:left w:val="single" w:sz="8" w:color="auto"/>
              <w:right w:val="single" w:sz="8" w:color="auto"/>
            </w:tcBorders>
            <w:shd w:val="clear" w:color="auto" w:fill="CCEEFF"/>
          </w:tcPr>
          <w:p>
            <w:pPr>
              <w:spacing w:after="0"/>
              <w:rPr>
                <w:sz w:val="17"/>
                <w:szCs w:val="17"/>
                <w:color w:val="auto"/>
              </w:rPr>
            </w:pPr>
          </w:p>
        </w:tc>
        <w:tc>
          <w:tcPr>
            <w:tcW w:w="1520" w:type="dxa"/>
            <w:vAlign w:val="bottom"/>
            <w:tcBorders>
              <w:right w:val="single" w:sz="8" w:color="auto"/>
            </w:tcBorders>
            <w:shd w:val="clear" w:color="auto" w:fill="CCEEFF"/>
          </w:tcPr>
          <w:p>
            <w:pPr>
              <w:ind w:left="260"/>
              <w:spacing w:after="0"/>
              <w:rPr>
                <w:sz w:val="20"/>
                <w:szCs w:val="20"/>
                <w:color w:val="auto"/>
              </w:rPr>
            </w:pPr>
            <w:r>
              <w:rPr>
                <w:rFonts w:ascii="Arial" w:cs="Arial" w:eastAsia="Arial" w:hAnsi="Arial"/>
                <w:sz w:val="16"/>
                <w:szCs w:val="16"/>
                <w:color w:val="auto"/>
              </w:rPr>
              <w:t>March 6, 2017</w:t>
            </w:r>
          </w:p>
        </w:tc>
        <w:tc>
          <w:tcPr>
            <w:tcW w:w="18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90"/>
              </w:rPr>
              <w:t>cash paid for 100% asset</w:t>
            </w:r>
          </w:p>
        </w:tc>
        <w:tc>
          <w:tcPr>
            <w:tcW w:w="400" w:type="dxa"/>
            <w:vAlign w:val="bottom"/>
            <w:shd w:val="clear" w:color="auto" w:fill="CCEEFF"/>
          </w:tcPr>
          <w:p>
            <w:pPr>
              <w:jc w:val="right"/>
              <w:ind w:right="244"/>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14,341</w:t>
            </w:r>
          </w:p>
        </w:tc>
        <w:tc>
          <w:tcPr>
            <w:tcW w:w="380" w:type="dxa"/>
            <w:vAlign w:val="bottom"/>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840" w:type="dxa"/>
            <w:vAlign w:val="bottom"/>
            <w:tcBorders>
              <w:right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8,448</w:t>
            </w:r>
          </w:p>
        </w:tc>
        <w:tc>
          <w:tcPr>
            <w:tcW w:w="560" w:type="dxa"/>
            <w:vAlign w:val="bottom"/>
            <w:tcBorders>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North</w:t>
            </w:r>
          </w:p>
        </w:tc>
        <w:tc>
          <w:tcPr>
            <w:tcW w:w="0" w:type="dxa"/>
            <w:vAlign w:val="bottom"/>
          </w:tcPr>
          <w:p>
            <w:pPr>
              <w:spacing w:after="0"/>
              <w:rPr>
                <w:sz w:val="1"/>
                <w:szCs w:val="1"/>
                <w:color w:val="auto"/>
              </w:rPr>
            </w:pPr>
          </w:p>
        </w:tc>
      </w:tr>
      <w:tr>
        <w:trPr>
          <w:trHeight w:val="212"/>
        </w:trPr>
        <w:tc>
          <w:tcPr>
            <w:tcW w:w="2720" w:type="dxa"/>
            <w:vAlign w:val="bottom"/>
            <w:tcBorders>
              <w:left w:val="single" w:sz="8" w:color="auto"/>
              <w:right w:val="single" w:sz="8" w:color="auto"/>
            </w:tcBorders>
            <w:vMerge w:val="restart"/>
            <w:shd w:val="clear" w:color="auto" w:fill="CCEEFF"/>
          </w:tcPr>
          <w:p>
            <w:pPr>
              <w:jc w:val="center"/>
              <w:spacing w:after="0"/>
              <w:rPr>
                <w:sz w:val="20"/>
                <w:szCs w:val="20"/>
                <w:color w:val="auto"/>
              </w:rPr>
            </w:pPr>
            <w:r>
              <w:rPr>
                <w:rFonts w:ascii="Arial" w:cs="Arial" w:eastAsia="Arial" w:hAnsi="Arial"/>
                <w:sz w:val="16"/>
                <w:szCs w:val="16"/>
                <w:color w:val="auto"/>
                <w:w w:val="94"/>
              </w:rPr>
              <w:t>Quality Hardwood Sales, LLC</w:t>
            </w:r>
          </w:p>
        </w:tc>
        <w:tc>
          <w:tcPr>
            <w:tcW w:w="1520" w:type="dxa"/>
            <w:vAlign w:val="bottom"/>
            <w:tcBorders>
              <w:right w:val="single" w:sz="8" w:color="auto"/>
            </w:tcBorders>
            <w:shd w:val="clear" w:color="auto" w:fill="CCEEFF"/>
          </w:tcPr>
          <w:p>
            <w:pPr>
              <w:spacing w:after="0"/>
              <w:rPr>
                <w:sz w:val="18"/>
                <w:szCs w:val="18"/>
                <w:color w:val="auto"/>
              </w:rPr>
            </w:pPr>
          </w:p>
        </w:tc>
        <w:tc>
          <w:tcPr>
            <w:tcW w:w="1840" w:type="dxa"/>
            <w:vAlign w:val="bottom"/>
            <w:tcBorders>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w w:val="88"/>
              </w:rPr>
              <w:t>purchase</w:t>
            </w:r>
          </w:p>
        </w:tc>
        <w:tc>
          <w:tcPr>
            <w:tcW w:w="400" w:type="dxa"/>
            <w:vAlign w:val="bottom"/>
            <w:shd w:val="clear" w:color="auto" w:fill="CCEEFF"/>
          </w:tcPr>
          <w:p>
            <w:pPr>
              <w:spacing w:after="0"/>
              <w:rPr>
                <w:sz w:val="18"/>
                <w:szCs w:val="18"/>
                <w:color w:val="auto"/>
              </w:rPr>
            </w:pPr>
          </w:p>
        </w:tc>
        <w:tc>
          <w:tcPr>
            <w:tcW w:w="820" w:type="dxa"/>
            <w:vAlign w:val="bottom"/>
            <w:tcBorders>
              <w:right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40" w:type="dxa"/>
            <w:vAlign w:val="bottom"/>
            <w:tcBorders>
              <w:right w:val="single" w:sz="8" w:color="auto"/>
            </w:tcBorders>
            <w:shd w:val="clear" w:color="auto" w:fill="CCEEFF"/>
          </w:tcPr>
          <w:p>
            <w:pPr>
              <w:spacing w:after="0"/>
              <w:rPr>
                <w:sz w:val="18"/>
                <w:szCs w:val="18"/>
                <w:color w:val="auto"/>
              </w:rPr>
            </w:pPr>
          </w:p>
        </w:tc>
        <w:tc>
          <w:tcPr>
            <w:tcW w:w="560" w:type="dxa"/>
            <w:vAlign w:val="bottom"/>
            <w:tcBorders>
              <w:right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2720" w:type="dxa"/>
            <w:vAlign w:val="bottom"/>
            <w:tcBorders>
              <w:left w:val="single" w:sz="8" w:color="auto"/>
              <w:right w:val="single" w:sz="8" w:color="auto"/>
            </w:tcBorders>
            <w:vMerge w:val="continue"/>
            <w:shd w:val="clear" w:color="auto" w:fill="CCEEFF"/>
          </w:tcPr>
          <w:p>
            <w:pPr>
              <w:spacing w:after="0"/>
              <w:rPr>
                <w:sz w:val="16"/>
                <w:szCs w:val="16"/>
                <w:color w:val="auto"/>
              </w:rPr>
            </w:pPr>
          </w:p>
        </w:tc>
        <w:tc>
          <w:tcPr>
            <w:tcW w:w="6360" w:type="dxa"/>
            <w:vAlign w:val="bottom"/>
            <w:tcBorders>
              <w:right w:val="single" w:sz="8" w:color="auto"/>
            </w:tcBorders>
            <w:gridSpan w:val="7"/>
            <w:shd w:val="clear" w:color="auto" w:fill="CCEEFF"/>
          </w:tcPr>
          <w:p>
            <w:pPr>
              <w:spacing w:after="0"/>
              <w:rPr>
                <w:sz w:val="20"/>
                <w:szCs w:val="20"/>
                <w:color w:val="auto"/>
              </w:rPr>
            </w:pPr>
            <w:r>
              <w:rPr>
                <w:rFonts w:ascii="Arial" w:cs="Arial" w:eastAsia="Arial" w:hAnsi="Arial"/>
                <w:sz w:val="16"/>
                <w:szCs w:val="16"/>
                <w:color w:val="auto"/>
                <w:w w:val="95"/>
              </w:rPr>
              <w:t>A manufacturer and supplier of hardwood products, including components of cabinets used in</w:t>
            </w:r>
          </w:p>
        </w:tc>
        <w:tc>
          <w:tcPr>
            <w:tcW w:w="0" w:type="dxa"/>
            <w:vAlign w:val="bottom"/>
          </w:tcPr>
          <w:p>
            <w:pPr>
              <w:spacing w:after="0"/>
              <w:rPr>
                <w:sz w:val="1"/>
                <w:szCs w:val="1"/>
                <w:color w:val="auto"/>
              </w:rPr>
            </w:pPr>
          </w:p>
        </w:tc>
      </w:tr>
      <w:tr>
        <w:trPr>
          <w:trHeight w:val="203"/>
        </w:trPr>
        <w:tc>
          <w:tcPr>
            <w:tcW w:w="2720" w:type="dxa"/>
            <w:vAlign w:val="bottom"/>
            <w:tcBorders>
              <w:left w:val="single" w:sz="8" w:color="auto"/>
              <w:right w:val="single" w:sz="8" w:color="auto"/>
            </w:tcBorders>
            <w:shd w:val="clear" w:color="auto" w:fill="CCEEFF"/>
          </w:tcPr>
          <w:p>
            <w:pPr>
              <w:jc w:val="center"/>
              <w:spacing w:after="0"/>
              <w:rPr>
                <w:sz w:val="20"/>
                <w:szCs w:val="20"/>
                <w:color w:val="auto"/>
              </w:rPr>
            </w:pPr>
            <w:r>
              <w:rPr>
                <w:rFonts w:ascii="Arial" w:cs="Arial" w:eastAsia="Arial" w:hAnsi="Arial"/>
                <w:sz w:val="16"/>
                <w:szCs w:val="16"/>
                <w:color w:val="auto"/>
              </w:rPr>
              <w:t>("Quality")</w:t>
            </w:r>
          </w:p>
        </w:tc>
        <w:tc>
          <w:tcPr>
            <w:tcW w:w="6360" w:type="dxa"/>
            <w:vAlign w:val="bottom"/>
            <w:tcBorders>
              <w:right w:val="single" w:sz="8" w:color="auto"/>
            </w:tcBorders>
            <w:gridSpan w:val="7"/>
            <w:shd w:val="clear" w:color="auto" w:fill="CCEEFF"/>
          </w:tcPr>
          <w:p>
            <w:pPr>
              <w:spacing w:after="0"/>
              <w:rPr>
                <w:sz w:val="20"/>
                <w:szCs w:val="20"/>
                <w:color w:val="auto"/>
              </w:rPr>
            </w:pPr>
            <w:r>
              <w:rPr>
                <w:rFonts w:ascii="Arial" w:cs="Arial" w:eastAsia="Arial" w:hAnsi="Arial"/>
                <w:sz w:val="16"/>
                <w:szCs w:val="16"/>
                <w:color w:val="auto"/>
                <w:w w:val="96"/>
              </w:rPr>
              <w:t>homes and recreational vehicles. Quality had annual sales of approximately $30 million. The</w:t>
            </w:r>
          </w:p>
        </w:tc>
        <w:tc>
          <w:tcPr>
            <w:tcW w:w="0" w:type="dxa"/>
            <w:vAlign w:val="bottom"/>
          </w:tcPr>
          <w:p>
            <w:pPr>
              <w:spacing w:after="0"/>
              <w:rPr>
                <w:sz w:val="1"/>
                <w:szCs w:val="1"/>
                <w:color w:val="auto"/>
              </w:rPr>
            </w:pPr>
          </w:p>
        </w:tc>
      </w:tr>
      <w:tr>
        <w:trPr>
          <w:trHeight w:val="203"/>
        </w:trPr>
        <w:tc>
          <w:tcPr>
            <w:tcW w:w="2720" w:type="dxa"/>
            <w:vAlign w:val="bottom"/>
            <w:tcBorders>
              <w:left w:val="single" w:sz="8" w:color="auto"/>
              <w:right w:val="single" w:sz="8" w:color="auto"/>
            </w:tcBorders>
            <w:shd w:val="clear" w:color="auto" w:fill="CCEEFF"/>
          </w:tcPr>
          <w:p>
            <w:pPr>
              <w:spacing w:after="0"/>
              <w:rPr>
                <w:sz w:val="17"/>
                <w:szCs w:val="17"/>
                <w:color w:val="auto"/>
              </w:rPr>
            </w:pPr>
          </w:p>
        </w:tc>
        <w:tc>
          <w:tcPr>
            <w:tcW w:w="6360" w:type="dxa"/>
            <w:vAlign w:val="bottom"/>
            <w:tcBorders>
              <w:right w:val="single" w:sz="8" w:color="auto"/>
            </w:tcBorders>
            <w:gridSpan w:val="7"/>
            <w:shd w:val="clear" w:color="auto" w:fill="CCEEFF"/>
          </w:tcPr>
          <w:p>
            <w:pPr>
              <w:spacing w:after="0"/>
              <w:rPr>
                <w:sz w:val="20"/>
                <w:szCs w:val="20"/>
                <w:color w:val="auto"/>
              </w:rPr>
            </w:pPr>
            <w:r>
              <w:rPr>
                <w:rFonts w:ascii="Arial" w:cs="Arial" w:eastAsia="Arial" w:hAnsi="Arial"/>
                <w:sz w:val="16"/>
                <w:szCs w:val="16"/>
                <w:color w:val="auto"/>
                <w:w w:val="98"/>
              </w:rPr>
              <w:t>acquisition of Quality enabled us to expand our product offering to include hardwood-based</w:t>
            </w:r>
          </w:p>
        </w:tc>
        <w:tc>
          <w:tcPr>
            <w:tcW w:w="0" w:type="dxa"/>
            <w:vAlign w:val="bottom"/>
          </w:tcPr>
          <w:p>
            <w:pPr>
              <w:spacing w:after="0"/>
              <w:rPr>
                <w:sz w:val="1"/>
                <w:szCs w:val="1"/>
                <w:color w:val="auto"/>
              </w:rPr>
            </w:pPr>
          </w:p>
        </w:tc>
      </w:tr>
      <w:tr>
        <w:trPr>
          <w:trHeight w:val="219"/>
        </w:trPr>
        <w:tc>
          <w:tcPr>
            <w:tcW w:w="2720" w:type="dxa"/>
            <w:vAlign w:val="bottom"/>
            <w:tcBorders>
              <w:left w:val="single" w:sz="8" w:color="auto"/>
              <w:bottom w:val="single" w:sz="8" w:color="auto"/>
              <w:right w:val="single" w:sz="8" w:color="auto"/>
            </w:tcBorders>
            <w:shd w:val="clear" w:color="auto" w:fill="CCEEFF"/>
          </w:tcPr>
          <w:p>
            <w:pPr>
              <w:spacing w:after="0"/>
              <w:rPr>
                <w:sz w:val="19"/>
                <w:szCs w:val="19"/>
                <w:color w:val="auto"/>
              </w:rPr>
            </w:pPr>
          </w:p>
        </w:tc>
        <w:tc>
          <w:tcPr>
            <w:tcW w:w="1520" w:type="dxa"/>
            <w:vAlign w:val="bottom"/>
            <w:tcBorders>
              <w:bottom w:val="single" w:sz="8" w:color="auto"/>
              <w:right w:val="single" w:sz="8" w:color="CCEEFF"/>
            </w:tcBorders>
            <w:shd w:val="clear" w:color="auto" w:fill="CCEEFF"/>
          </w:tcPr>
          <w:p>
            <w:pPr>
              <w:spacing w:after="0"/>
              <w:rPr>
                <w:sz w:val="20"/>
                <w:szCs w:val="20"/>
                <w:color w:val="auto"/>
              </w:rPr>
            </w:pPr>
            <w:r>
              <w:rPr>
                <w:rFonts w:ascii="Arial" w:cs="Arial" w:eastAsia="Arial" w:hAnsi="Arial"/>
                <w:sz w:val="16"/>
                <w:szCs w:val="16"/>
                <w:color w:val="auto"/>
              </w:rPr>
              <w:t>products.</w:t>
            </w:r>
          </w:p>
        </w:tc>
        <w:tc>
          <w:tcPr>
            <w:tcW w:w="1840" w:type="dxa"/>
            <w:vAlign w:val="bottom"/>
            <w:tcBorders>
              <w:bottom w:val="single" w:sz="8" w:color="auto"/>
              <w:right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right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right w:val="single" w:sz="8" w:color="CCEEFF"/>
            </w:tcBorders>
            <w:shd w:val="clear" w:color="auto" w:fill="CCEEFF"/>
          </w:tcPr>
          <w:p>
            <w:pPr>
              <w:spacing w:after="0"/>
              <w:rPr>
                <w:sz w:val="19"/>
                <w:szCs w:val="19"/>
                <w:color w:val="auto"/>
              </w:rPr>
            </w:pPr>
          </w:p>
        </w:tc>
        <w:tc>
          <w:tcPr>
            <w:tcW w:w="560" w:type="dxa"/>
            <w:vAlign w:val="bottom"/>
            <w:tcBorders>
              <w:bottom w:val="single" w:sz="8" w:color="auto"/>
              <w:right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The intangible assets for each acquisition were finalized and allocated to their respective identifiable</w:t>
      </w:r>
    </w:p>
    <w:p>
      <w:pPr>
        <w:spacing w:after="0" w:line="3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intangible asset and goodwill accounts during 2018. In aggregate, acquisitions completed since the end of</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March 2017 contributed approximately $38.7 million in revenue and $0.8 million in operating profit during the first</w:t>
      </w:r>
    </w:p>
    <w:p>
      <w:pPr>
        <w:spacing w:after="0" w:line="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quarter of 2018.</w:t>
      </w:r>
    </w:p>
    <w:p>
      <w:pPr>
        <w:spacing w:after="0" w:line="207" w:lineRule="exact"/>
        <w:rPr>
          <w:sz w:val="20"/>
          <w:szCs w:val="20"/>
          <w:color w:val="auto"/>
        </w:rPr>
      </w:pPr>
    </w:p>
    <w:p>
      <w:pPr>
        <w:ind w:left="500" w:hanging="497"/>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229" w:lineRule="exact"/>
        <w:rPr>
          <w:rFonts w:ascii="Arial" w:cs="Arial" w:eastAsia="Arial" w:hAnsi="Arial"/>
          <w:sz w:val="18"/>
          <w:szCs w:val="18"/>
          <w:b w:val="1"/>
          <w:bCs w:val="1"/>
          <w:color w:val="auto"/>
        </w:rPr>
      </w:pPr>
    </w:p>
    <w:p>
      <w:pPr>
        <w:ind w:left="480" w:right="4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ASC 280, Segment Reporting (“ASC 280”), defines operating segments as components of an enterprise about which separate financial information is available that is evaluated regularly by the chief operating decision maker in deciding how to allocate resources and in assessing performance.</w:t>
      </w:r>
    </w:p>
    <w:p>
      <w:pPr>
        <w:spacing w:after="0" w:line="181" w:lineRule="exact"/>
        <w:rPr>
          <w:rFonts w:ascii="Arial" w:cs="Arial" w:eastAsia="Arial" w:hAnsi="Arial"/>
          <w:sz w:val="18"/>
          <w:szCs w:val="18"/>
          <w:b w:val="1"/>
          <w:bCs w:val="1"/>
          <w:color w:val="auto"/>
        </w:rPr>
      </w:pPr>
    </w:p>
    <w:p>
      <w:pPr>
        <w:ind w:left="480" w:right="2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Company operates manufacturing, treating and distribution facilities throughout North America, but primarily in the United States. The Company manages the operations of its individual locations primarily through a geographic reporting structure under which each location is included in a region and regions are included in our North, South, West, and International divisions. The exceptions to this geographic reporting and management structure are (a) the Company’s Alternative Materials Division, which offers a portfolio of non-wood products and distributes those products nation-wide (b) the Company’s distribution unit (referred to as UFPD) which distributes a variety of products to the manufactured housing industry nation-wide and is accounted for as a reporting unit within the North segment, and (c) the idX division, which designs, produces, and installs customized in-store environments, for customers world-wide.</w:t>
      </w:r>
    </w:p>
    <w:p>
      <w:pPr>
        <w:spacing w:after="0" w:line="197" w:lineRule="exact"/>
        <w:rPr>
          <w:rFonts w:ascii="Arial" w:cs="Arial" w:eastAsia="Arial" w:hAnsi="Arial"/>
          <w:sz w:val="18"/>
          <w:szCs w:val="18"/>
          <w:b w:val="1"/>
          <w:bCs w:val="1"/>
          <w:color w:val="auto"/>
        </w:rPr>
      </w:pPr>
    </w:p>
    <w:p>
      <w:pPr>
        <w:ind w:left="48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With respect to the facilities in the north, south, and west segments, these facilities generally supply the three markets the Company serves nationally - Retail, Industrial, and Construction. Also, substantially all of our facilities support customers in the immediate geographical region surrounding the facility.</w:t>
      </w:r>
    </w:p>
    <w:p>
      <w:pPr>
        <w:spacing w:after="0" w:line="181" w:lineRule="exact"/>
        <w:rPr>
          <w:rFonts w:ascii="Arial" w:cs="Arial" w:eastAsia="Arial" w:hAnsi="Arial"/>
          <w:sz w:val="18"/>
          <w:szCs w:val="18"/>
          <w:b w:val="1"/>
          <w:bCs w:val="1"/>
          <w:color w:val="auto"/>
        </w:rPr>
      </w:pPr>
    </w:p>
    <w:p>
      <w:pPr>
        <w:ind w:left="5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Our Alternative Materials, International and idX division have been included in the “All Other” column of the table below. The “Corporate” column includes unallocated administrative costs and certain incentive compensation expense.</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6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6"/>
          </w:tcPr>
          <w:p>
            <w:pPr>
              <w:jc w:val="right"/>
              <w:ind w:right="7"/>
              <w:spacing w:after="0"/>
              <w:rPr>
                <w:sz w:val="20"/>
                <w:szCs w:val="20"/>
                <w:color w:val="auto"/>
              </w:rPr>
            </w:pPr>
            <w:r>
              <w:rPr>
                <w:rFonts w:ascii="Arial" w:cs="Arial" w:eastAsia="Arial" w:hAnsi="Arial"/>
                <w:sz w:val="14"/>
                <w:szCs w:val="14"/>
                <w:b w:val="1"/>
                <w:bCs w:val="1"/>
                <w:color w:val="auto"/>
                <w:w w:val="95"/>
              </w:rPr>
              <w:t>Three Months Ended March 31, 2018</w:t>
            </w:r>
          </w:p>
        </w:tc>
        <w:tc>
          <w:tcPr>
            <w:tcW w:w="6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r>
      <w:tr>
        <w:trPr>
          <w:trHeight w:val="156"/>
        </w:trPr>
        <w:tc>
          <w:tcPr>
            <w:tcW w:w="26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North</w:t>
            </w:r>
          </w:p>
        </w:tc>
        <w:tc>
          <w:tcPr>
            <w:tcW w:w="820" w:type="dxa"/>
            <w:vAlign w:val="bottom"/>
          </w:tcPr>
          <w:p>
            <w:pPr>
              <w:jc w:val="right"/>
              <w:ind w:right="154"/>
              <w:spacing w:after="0" w:line="149" w:lineRule="exact"/>
              <w:rPr>
                <w:sz w:val="20"/>
                <w:szCs w:val="20"/>
                <w:color w:val="auto"/>
              </w:rPr>
            </w:pPr>
            <w:r>
              <w:rPr>
                <w:rFonts w:ascii="Arial" w:cs="Arial" w:eastAsia="Arial" w:hAnsi="Arial"/>
                <w:sz w:val="14"/>
                <w:szCs w:val="14"/>
                <w:b w:val="1"/>
                <w:bCs w:val="1"/>
                <w:color w:val="auto"/>
              </w:rPr>
              <w:t>South</w:t>
            </w:r>
          </w:p>
        </w:tc>
        <w:tc>
          <w:tcPr>
            <w:tcW w:w="140" w:type="dxa"/>
            <w:vAlign w:val="bottom"/>
          </w:tcPr>
          <w:p>
            <w:pPr>
              <w:spacing w:after="0"/>
              <w:rPr>
                <w:sz w:val="13"/>
                <w:szCs w:val="13"/>
                <w:color w:val="auto"/>
              </w:rPr>
            </w:pPr>
          </w:p>
        </w:tc>
        <w:tc>
          <w:tcPr>
            <w:tcW w:w="1080" w:type="dxa"/>
            <w:vAlign w:val="bottom"/>
            <w:gridSpan w:val="2"/>
          </w:tcPr>
          <w:p>
            <w:pPr>
              <w:ind w:left="320"/>
              <w:spacing w:after="0" w:line="149" w:lineRule="exact"/>
              <w:rPr>
                <w:sz w:val="20"/>
                <w:szCs w:val="20"/>
                <w:color w:val="auto"/>
              </w:rPr>
            </w:pPr>
            <w:r>
              <w:rPr>
                <w:rFonts w:ascii="Arial" w:cs="Arial" w:eastAsia="Arial" w:hAnsi="Arial"/>
                <w:sz w:val="14"/>
                <w:szCs w:val="14"/>
                <w:b w:val="1"/>
                <w:bCs w:val="1"/>
                <w:color w:val="auto"/>
              </w:rPr>
              <w:t>West</w:t>
            </w:r>
          </w:p>
        </w:tc>
        <w:tc>
          <w:tcPr>
            <w:tcW w:w="9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All Other</w:t>
            </w:r>
          </w:p>
        </w:tc>
        <w:tc>
          <w:tcPr>
            <w:tcW w:w="1180" w:type="dxa"/>
            <w:vAlign w:val="bottom"/>
            <w:gridSpan w:val="4"/>
          </w:tcPr>
          <w:p>
            <w:pPr>
              <w:jc w:val="right"/>
              <w:ind w:right="385"/>
              <w:spacing w:after="0" w:line="149" w:lineRule="exact"/>
              <w:rPr>
                <w:sz w:val="20"/>
                <w:szCs w:val="20"/>
                <w:color w:val="auto"/>
              </w:rPr>
            </w:pPr>
            <w:r>
              <w:rPr>
                <w:rFonts w:ascii="Arial" w:cs="Arial" w:eastAsia="Arial" w:hAnsi="Arial"/>
                <w:sz w:val="14"/>
                <w:szCs w:val="14"/>
                <w:b w:val="1"/>
                <w:bCs w:val="1"/>
                <w:color w:val="auto"/>
              </w:rPr>
              <w:t>Corporate</w:t>
            </w:r>
          </w:p>
        </w:tc>
        <w:tc>
          <w:tcPr>
            <w:tcW w:w="800" w:type="dxa"/>
            <w:vAlign w:val="bottom"/>
          </w:tcPr>
          <w:p>
            <w:pPr>
              <w:jc w:val="right"/>
              <w:ind w:right="274"/>
              <w:spacing w:after="0" w:line="149" w:lineRule="exact"/>
              <w:rPr>
                <w:sz w:val="20"/>
                <w:szCs w:val="20"/>
                <w:color w:val="auto"/>
              </w:rPr>
            </w:pPr>
            <w:r>
              <w:rPr>
                <w:rFonts w:ascii="Arial" w:cs="Arial" w:eastAsia="Arial" w:hAnsi="Arial"/>
                <w:sz w:val="14"/>
                <w:szCs w:val="14"/>
                <w:b w:val="1"/>
                <w:bCs w:val="1"/>
                <w:color w:val="auto"/>
              </w:rPr>
              <w:t>Total</w:t>
            </w:r>
          </w:p>
        </w:tc>
      </w:tr>
      <w:tr>
        <w:trPr>
          <w:trHeight w:val="216"/>
        </w:trPr>
        <w:tc>
          <w:tcPr>
            <w:tcW w:w="2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 to outside customers</w:t>
            </w:r>
          </w:p>
        </w:tc>
        <w:tc>
          <w:tcPr>
            <w:tcW w:w="40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$ 270,186</w:t>
            </w:r>
          </w:p>
        </w:tc>
        <w:tc>
          <w:tcPr>
            <w:tcW w:w="1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$ 242,020</w:t>
            </w:r>
          </w:p>
        </w:tc>
        <w:tc>
          <w:tcPr>
            <w:tcW w:w="1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362,468</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$ 119,183</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993,857</w:t>
            </w:r>
          </w:p>
        </w:tc>
      </w:tr>
      <w:tr>
        <w:trPr>
          <w:trHeight w:val="216"/>
        </w:trPr>
        <w:tc>
          <w:tcPr>
            <w:tcW w:w="2660" w:type="dxa"/>
            <w:vAlign w:val="bottom"/>
          </w:tcPr>
          <w:p>
            <w:pPr>
              <w:spacing w:after="0"/>
              <w:rPr>
                <w:sz w:val="20"/>
                <w:szCs w:val="20"/>
                <w:color w:val="auto"/>
              </w:rPr>
            </w:pPr>
            <w:r>
              <w:rPr>
                <w:rFonts w:ascii="Arial" w:cs="Arial" w:eastAsia="Arial" w:hAnsi="Arial"/>
                <w:sz w:val="18"/>
                <w:szCs w:val="18"/>
                <w:color w:val="auto"/>
              </w:rPr>
              <w:t>Intersegment net sales</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12,025</w:t>
            </w: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18,649</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15,599</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62,720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3"/>
          </w:tcPr>
          <w:p>
            <w:pPr>
              <w:jc w:val="right"/>
              <w:ind w:right="365"/>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108,993</w:t>
            </w:r>
          </w:p>
        </w:tc>
      </w:tr>
      <w:tr>
        <w:trPr>
          <w:trHeight w:val="216"/>
        </w:trPr>
        <w:tc>
          <w:tcPr>
            <w:tcW w:w="266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profit (loss)</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8,694</w:t>
            </w: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19,544</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21,083</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(3,100)</w:t>
            </w:r>
          </w:p>
        </w:tc>
        <w:tc>
          <w:tcPr>
            <w:tcW w:w="2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(2,004)</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44,217</w:t>
            </w:r>
          </w:p>
        </w:tc>
      </w:tr>
      <w:tr>
        <w:trPr>
          <w:trHeight w:val="864"/>
        </w:trPr>
        <w:tc>
          <w:tcPr>
            <w:tcW w:w="26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jc w:val="right"/>
              <w:ind w:right="174"/>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29"/>
        </w:trPr>
        <w:tc>
          <w:tcPr>
            <w:tcW w:w="2660" w:type="dxa"/>
            <w:vAlign w:val="bottom"/>
            <w:tcBorders>
              <w:bottom w:val="single" w:sz="8" w:color="auto"/>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340" w:type="dxa"/>
            <w:vAlign w:val="bottom"/>
            <w:tcBorders>
              <w:bottom w:val="single" w:sz="8" w:color="auto"/>
            </w:tcBorders>
            <w:gridSpan w:val="7"/>
          </w:tcPr>
          <w:p>
            <w:pPr>
              <w:jc w:val="right"/>
              <w:ind w:right="107"/>
              <w:spacing w:after="0"/>
              <w:rPr>
                <w:sz w:val="20"/>
                <w:szCs w:val="20"/>
                <w:color w:val="auto"/>
              </w:rPr>
            </w:pPr>
            <w:r>
              <w:rPr>
                <w:rFonts w:ascii="Arial" w:cs="Arial" w:eastAsia="Arial" w:hAnsi="Arial"/>
                <w:sz w:val="14"/>
                <w:szCs w:val="14"/>
                <w:b w:val="1"/>
                <w:bCs w:val="1"/>
                <w:color w:val="auto"/>
                <w:w w:val="95"/>
              </w:rPr>
              <w:t>Three Months Ended April 1, 2017</w:t>
            </w:r>
          </w:p>
        </w:tc>
        <w:tc>
          <w:tcPr>
            <w:tcW w:w="6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r>
      <w:tr>
        <w:trPr>
          <w:trHeight w:val="156"/>
        </w:trPr>
        <w:tc>
          <w:tcPr>
            <w:tcW w:w="2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tcPr>
          <w:p>
            <w:pPr>
              <w:jc w:val="right"/>
              <w:ind w:right="159"/>
              <w:spacing w:after="0" w:line="149" w:lineRule="exact"/>
              <w:rPr>
                <w:sz w:val="20"/>
                <w:szCs w:val="20"/>
                <w:color w:val="auto"/>
              </w:rPr>
            </w:pPr>
            <w:r>
              <w:rPr>
                <w:rFonts w:ascii="Arial" w:cs="Arial" w:eastAsia="Arial" w:hAnsi="Arial"/>
                <w:sz w:val="14"/>
                <w:szCs w:val="14"/>
                <w:b w:val="1"/>
                <w:bCs w:val="1"/>
                <w:color w:val="auto"/>
              </w:rPr>
              <w:t>North</w:t>
            </w:r>
          </w:p>
        </w:tc>
        <w:tc>
          <w:tcPr>
            <w:tcW w:w="160" w:type="dxa"/>
            <w:vAlign w:val="bottom"/>
          </w:tcPr>
          <w:p>
            <w:pPr>
              <w:spacing w:after="0"/>
              <w:rPr>
                <w:sz w:val="13"/>
                <w:szCs w:val="13"/>
                <w:color w:val="auto"/>
              </w:rPr>
            </w:pPr>
          </w:p>
        </w:tc>
        <w:tc>
          <w:tcPr>
            <w:tcW w:w="840" w:type="dxa"/>
            <w:vAlign w:val="bottom"/>
          </w:tcPr>
          <w:p>
            <w:pPr>
              <w:jc w:val="right"/>
              <w:ind w:right="139"/>
              <w:spacing w:after="0" w:line="149" w:lineRule="exact"/>
              <w:rPr>
                <w:sz w:val="20"/>
                <w:szCs w:val="20"/>
                <w:color w:val="auto"/>
              </w:rPr>
            </w:pPr>
            <w:r>
              <w:rPr>
                <w:rFonts w:ascii="Arial" w:cs="Arial" w:eastAsia="Arial" w:hAnsi="Arial"/>
                <w:sz w:val="14"/>
                <w:szCs w:val="14"/>
                <w:b w:val="1"/>
                <w:bCs w:val="1"/>
                <w:color w:val="auto"/>
              </w:rPr>
              <w:t>South</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jc w:val="right"/>
              <w:ind w:right="199"/>
              <w:spacing w:after="0" w:line="149" w:lineRule="exact"/>
              <w:rPr>
                <w:sz w:val="20"/>
                <w:szCs w:val="20"/>
                <w:color w:val="auto"/>
              </w:rPr>
            </w:pPr>
            <w:r>
              <w:rPr>
                <w:rFonts w:ascii="Arial" w:cs="Arial" w:eastAsia="Arial" w:hAnsi="Arial"/>
                <w:sz w:val="14"/>
                <w:szCs w:val="14"/>
                <w:b w:val="1"/>
                <w:bCs w:val="1"/>
                <w:color w:val="auto"/>
              </w:rPr>
              <w:t>West</w:t>
            </w:r>
          </w:p>
        </w:tc>
        <w:tc>
          <w:tcPr>
            <w:tcW w:w="140" w:type="dxa"/>
            <w:vAlign w:val="bottom"/>
          </w:tcPr>
          <w:p>
            <w:pPr>
              <w:spacing w:after="0"/>
              <w:rPr>
                <w:sz w:val="13"/>
                <w:szCs w:val="13"/>
                <w:color w:val="auto"/>
              </w:rPr>
            </w:pPr>
          </w:p>
        </w:tc>
        <w:tc>
          <w:tcPr>
            <w:tcW w:w="820" w:type="dxa"/>
            <w:vAlign w:val="bottom"/>
          </w:tcPr>
          <w:p>
            <w:pPr>
              <w:jc w:val="right"/>
              <w:ind w:right="39"/>
              <w:spacing w:after="0" w:line="149" w:lineRule="exact"/>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3"/>
                <w:szCs w:val="13"/>
                <w:color w:val="auto"/>
              </w:rPr>
            </w:pPr>
          </w:p>
        </w:tc>
        <w:tc>
          <w:tcPr>
            <w:tcW w:w="1140" w:type="dxa"/>
            <w:vAlign w:val="bottom"/>
            <w:gridSpan w:val="4"/>
          </w:tcPr>
          <w:p>
            <w:pPr>
              <w:jc w:val="right"/>
              <w:ind w:right="345"/>
              <w:spacing w:after="0" w:line="149" w:lineRule="exact"/>
              <w:rPr>
                <w:sz w:val="20"/>
                <w:szCs w:val="20"/>
                <w:color w:val="auto"/>
              </w:rPr>
            </w:pPr>
            <w:r>
              <w:rPr>
                <w:rFonts w:ascii="Arial" w:cs="Arial" w:eastAsia="Arial" w:hAnsi="Arial"/>
                <w:sz w:val="14"/>
                <w:szCs w:val="14"/>
                <w:b w:val="1"/>
                <w:bCs w:val="1"/>
                <w:color w:val="auto"/>
              </w:rPr>
              <w:t>Corporate</w:t>
            </w:r>
          </w:p>
        </w:tc>
        <w:tc>
          <w:tcPr>
            <w:tcW w:w="740" w:type="dxa"/>
            <w:vAlign w:val="bottom"/>
          </w:tcPr>
          <w:p>
            <w:pPr>
              <w:jc w:val="right"/>
              <w:ind w:right="234"/>
              <w:spacing w:after="0" w:line="149" w:lineRule="exact"/>
              <w:rPr>
                <w:sz w:val="20"/>
                <w:szCs w:val="20"/>
                <w:color w:val="auto"/>
              </w:rPr>
            </w:pPr>
            <w:r>
              <w:rPr>
                <w:rFonts w:ascii="Arial" w:cs="Arial" w:eastAsia="Arial" w:hAnsi="Arial"/>
                <w:sz w:val="14"/>
                <w:szCs w:val="14"/>
                <w:b w:val="1"/>
                <w:bCs w:val="1"/>
                <w:color w:val="auto"/>
              </w:rPr>
              <w:t>Total</w:t>
            </w:r>
          </w:p>
        </w:tc>
      </w:tr>
      <w:tr>
        <w:trPr>
          <w:trHeight w:val="216"/>
        </w:trPr>
        <w:tc>
          <w:tcPr>
            <w:tcW w:w="2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sales to outside customers</w:t>
            </w:r>
          </w:p>
        </w:tc>
        <w:tc>
          <w:tcPr>
            <w:tcW w:w="4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227,920</w:t>
            </w: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188,743</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$ 319,161</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$ 110,306</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846,130</w:t>
            </w: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Intersegment net sales</w:t>
            </w: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16,171</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17,278</w:t>
            </w:r>
          </w:p>
        </w:tc>
        <w:tc>
          <w:tcPr>
            <w:tcW w:w="1040" w:type="dxa"/>
            <w:vAlign w:val="bottom"/>
            <w:gridSpan w:val="3"/>
          </w:tcPr>
          <w:p>
            <w:pPr>
              <w:jc w:val="right"/>
              <w:spacing w:after="0"/>
              <w:rPr>
                <w:sz w:val="20"/>
                <w:szCs w:val="20"/>
                <w:color w:val="auto"/>
              </w:rPr>
            </w:pPr>
            <w:r>
              <w:rPr>
                <w:rFonts w:ascii="Arial" w:cs="Arial" w:eastAsia="Arial" w:hAnsi="Arial"/>
                <w:sz w:val="18"/>
                <w:szCs w:val="18"/>
                <w:color w:val="auto"/>
              </w:rPr>
              <w:t>21,833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20,006</w:t>
            </w: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3"/>
          </w:tcPr>
          <w:p>
            <w:pPr>
              <w:jc w:val="right"/>
              <w:ind w:right="345"/>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75,288</w:t>
            </w:r>
          </w:p>
        </w:tc>
      </w:tr>
      <w:tr>
        <w:trPr>
          <w:trHeight w:val="216"/>
        </w:trPr>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Segment operating profit</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9,978</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10,689</w:t>
            </w: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18,305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604</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(5,755)</w:t>
            </w: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33,821</w:t>
            </w:r>
          </w:p>
        </w:tc>
      </w:tr>
    </w:tbl>
    <w:p>
      <w:pPr>
        <w:spacing w:after="0" w:line="225" w:lineRule="exact"/>
        <w:rPr>
          <w:sz w:val="20"/>
          <w:szCs w:val="20"/>
          <w:color w:val="auto"/>
        </w:rPr>
      </w:pPr>
    </w:p>
    <w:p>
      <w:pPr>
        <w:ind w:left="500" w:hanging="497"/>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Effective tax rates differ from statutory federal income tax rates, primarily due to provisions for state and local income taxes and permanent tax differences. Our effective tax rate was 22.2% in the first quarter of 2018 compared to 33.2% for same period in 2017. This decrease was due primarily to the Tax Act, which reduced the U.S. federal corporate income tax rate from 35 percent to 21 percent effective January 1, 2018. Pursuant to SAB 118, the accounting for the Tax Act was incomplete at December 30, 2017 and is still incomplete as of March 31, 2018. As noted at year-end, however, we were able to reasonably estimate certain effects and, therefore, recorded provisional adjustments associated with the deemed repatriation transition tax, a provisional decrease for certain of our Deferred Tax Assets (DTAs) and Deferred Tax Liabilities (DTLs) related to the reduced corporate tax rate, and a provisional benefit related to our intent to fully expense all qualifying expenditures under the new cost recovery rules.</w:t>
      </w:r>
    </w:p>
    <w:p>
      <w:pPr>
        <w:spacing w:after="0" w:line="182"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We have not made any additional measurement-period adjustments related to these items during the quarter. However, we are continuing to gather additional information to complete our accounting for these items and expect to complete our accounting within the prescribed measurement period.</w:t>
      </w:r>
    </w:p>
    <w:p>
      <w:pPr>
        <w:spacing w:after="0" w:line="181"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As noted at year-end, we were not yet able to reasonably estimate the effects for Global Intangible Low-Taxed Income (GILTI). Therefore, no provisional adjustment was recorded.</w:t>
      </w:r>
    </w:p>
    <w:p>
      <w:pPr>
        <w:spacing w:after="0" w:line="170"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Because of the complexity of the new GILTI tax rules, we are continuing to evaluate this provision of the Act and the application of ASC 740. Under U.S. GAAP, we are allowed to make an accounting policy choice of either (1) treating taxes due on future U.S. inclusions in taxable income related to GILTI as a current-period expense when incurred (the “period cost method”) or (2) factoring such amounts into a company’s measurement of its deferred taxes (the “deferred method”). Our selection of an accounting policy related to the new GILTI tax rules will depend, in part, on analyzing our global income to determine whether we expect to have future U.S. inclusions in taxable income related to GILTI and, if so, what the impact is expected to be. Because whether we expect to have future U.S. inclusions in taxable income related to GILTI depends on a number of different aspects or our estimated future results of global operations, we are not yet able to reasonably estimate the long-term effects of this provision of the Act. Therefore, we have not recorded any potential deferred tax effects related to GILTI in our financial statements and have not made a policy decision regarding whether to record deferred taxes on GILTI or use the period cost method. We have however, included an estimate of the estimated 2018 current GILTI impact in our Annual Effective Tax Rate (AETR) for 2018. We expect to complete our accounting within the prescribed measurement period.</w:t>
      </w:r>
    </w:p>
    <w:p>
      <w:pPr>
        <w:spacing w:after="0" w:line="184" w:lineRule="exact"/>
        <w:rPr>
          <w:sz w:val="20"/>
          <w:szCs w:val="20"/>
          <w:color w:val="auto"/>
        </w:rPr>
      </w:pPr>
    </w:p>
    <w:p>
      <w:pPr>
        <w:ind w:left="440" w:hanging="437"/>
        <w:spacing w:after="0"/>
        <w:tabs>
          <w:tab w:leader="none" w:pos="4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PROPERTY SALE</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The Company completed a sale of a property in Medley, Florida, during the first quarter of 2018. The sale price for the property was approximately $36 million and created a $7 million pre-tax gain. The transaction is part of a strategy to create efficiencies and advantages not possible with the current facility by optimizing the capacity of its other three Florida operations, including two it acquired from Robbins Manufacturing in 2017, and adding a state-of-the-art facility in South Florida. The Company will lease back the Medley, Florida, facility for two years as it executes its long-term plan for Florida and the Southeast region, however, only a minor portion of the property sold was leased back, the entire gain is included in income.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Universal Forest Products, Inc. is a holding company with subsidiaries throughout North America, Europe, Asia, and in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Australia that supply wood, wood composite and other products to three robust markets: retail, industrial, and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construction. The Company is headquartered in Grand Rapids, Mich. For more information about Universal Forest Products,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 or its affiliated operations, go to www.ufpi.com.</w:t>
      </w:r>
    </w:p>
    <w:p>
      <w:pPr>
        <w:spacing w:after="0" w:line="21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report contains forward-looking statements within the meaning of Section 21E of the Securities Exchange Act, as amended, that are based on management’s beliefs, assumptions, current expectations, estimates and projections about the markets we serve, the economy and the Company itself. Words like “anticipates,” “believes,” “confident,” “estimates,” “expects,” “forecasts,” “likely,” “plans,” “projects,” “should,” variations of such words, and similar expressions identify such forward-looking statements. These statements do not guarantee future performance and involve certain risks, uncertainties and assumptions that are difficult to predict with regard to timing, extent, likelihood and degree of occurrence. The Company does not undertake to update forward-looking statements to reflect facts, circumstances, events, or assumptions that occur after the date the forward-looking statements are made. Actual results could differ materially from those included in such forward-looking statements. Investors are cautioned that all forward-looking statements involve risks and uncertainty. Among the factors that could cause actual results to differ materially from forward-looking statements are the following: fluctuations in the price of lumber; adverse or unusual weather conditions; adverse economic conditions in the markets we serve; government regulations, particularly involving environmental and safety regulations; and our ability to make successful business acquisitions. Certain of these risk factors as well as other risk factors and additional information are included in the Company's reports on Form 10-K and 10-Q on file with the Securities and Exchange Commission. We are pleased to present this overview of 2018.</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results for the first quarter of 2018 were impacted by the following:</w:t>
      </w:r>
    </w:p>
    <w:p>
      <w:pPr>
        <w:spacing w:after="0" w:line="225" w:lineRule="exact"/>
        <w:rPr>
          <w:sz w:val="20"/>
          <w:szCs w:val="20"/>
          <w:color w:val="auto"/>
        </w:rPr>
      </w:pPr>
    </w:p>
    <w:p>
      <w:pPr>
        <w:ind w:left="820" w:right="60" w:hanging="331"/>
        <w:spacing w:after="0" w:line="259"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gross sales increased by 18% compared to the first quarter of 2017, which was comprised of a 9% increase in unit sales and a 9% increase in selling prices primarily due to the commodity lumber market (see Historical Lumber Prices below). Acquired operations contributed 4% to our unit sales growth. All of our markets contributed to our 5% overall organic growth rate.</w:t>
      </w:r>
    </w:p>
    <w:p>
      <w:pPr>
        <w:spacing w:after="0" w:line="186" w:lineRule="exact"/>
        <w:rPr>
          <w:rFonts w:ascii="Arial" w:cs="Arial" w:eastAsia="Arial" w:hAnsi="Arial"/>
          <w:sz w:val="18"/>
          <w:szCs w:val="18"/>
          <w:color w:val="auto"/>
        </w:rPr>
      </w:pPr>
    </w:p>
    <w:p>
      <w:pPr>
        <w:ind w:left="820" w:hanging="331"/>
        <w:spacing w:after="0" w:line="259"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operating profits increased by 30.7% compared to the first quarter of 2017, which was primarily due to a pre-tax net gain of approximately $6.5 million as a result of the of sale of certain assets including our Medley, FL, plant. Excluding the impact of the sale, our operating profits increased by 11%, which is comparable with our 9% increase in unit sales.</w:t>
      </w:r>
    </w:p>
    <w:p>
      <w:pPr>
        <w:spacing w:after="0" w:line="186" w:lineRule="exact"/>
        <w:rPr>
          <w:rFonts w:ascii="Arial" w:cs="Arial" w:eastAsia="Arial" w:hAnsi="Arial"/>
          <w:sz w:val="18"/>
          <w:szCs w:val="18"/>
          <w:color w:val="auto"/>
        </w:rPr>
      </w:pPr>
    </w:p>
    <w:p>
      <w:pPr>
        <w:ind w:left="820" w:hanging="331"/>
        <w:spacing w:after="0"/>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effective tax rate was approximately 22% primarily due to the change in tax law.</w:t>
      </w:r>
    </w:p>
    <w:p>
      <w:pPr>
        <w:spacing w:after="0" w:line="225" w:lineRule="exact"/>
        <w:rPr>
          <w:rFonts w:ascii="Arial" w:cs="Arial" w:eastAsia="Arial" w:hAnsi="Arial"/>
          <w:sz w:val="18"/>
          <w:szCs w:val="18"/>
          <w:color w:val="auto"/>
        </w:rPr>
      </w:pPr>
    </w:p>
    <w:p>
      <w:pPr>
        <w:ind w:left="820" w:right="440" w:hanging="331"/>
        <w:spacing w:after="0" w:line="277" w:lineRule="auto"/>
        <w:tabs>
          <w:tab w:leader="none" w:pos="8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Cash flow used in operating activities was $84 million due to seasonal working capital requirements totaling approximately $126 million since year end.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HISTORICAL LUMBER PRICES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experience significant fluctuations in the cost of commodity lumber products from primary producers (“Lumber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Market”). The following table presents the Random Lengths framing lumber composite price:</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208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1"/>
              </w:rPr>
              <w:t>Random Lengths Composite</w:t>
            </w:r>
          </w:p>
        </w:tc>
      </w:tr>
      <w:tr>
        <w:trPr>
          <w:trHeight w:val="178"/>
        </w:trPr>
        <w:tc>
          <w:tcPr>
            <w:tcW w:w="46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9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6"/>
              </w:rPr>
              <w:t>Average $/MBF</w:t>
            </w:r>
          </w:p>
        </w:tc>
      </w:tr>
      <w:tr>
        <w:trPr>
          <w:trHeight w:val="156"/>
        </w:trPr>
        <w:tc>
          <w:tcPr>
            <w:tcW w:w="4620" w:type="dxa"/>
            <w:vAlign w:val="bottom"/>
            <w:tcBorders>
              <w:bottom w:val="single" w:sz="8" w:color="CCEEFF"/>
            </w:tcBorders>
          </w:tcPr>
          <w:p>
            <w:pPr>
              <w:spacing w:after="0"/>
              <w:rPr>
                <w:sz w:val="13"/>
                <w:szCs w:val="13"/>
                <w:color w:val="auto"/>
              </w:rPr>
            </w:pPr>
          </w:p>
        </w:tc>
        <w:tc>
          <w:tcPr>
            <w:tcW w:w="236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195"/>
              <w:spacing w:after="0" w:line="149"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620" w:type="dxa"/>
            <w:vAlign w:val="bottom"/>
            <w:tcBorders>
              <w:top w:val="single" w:sz="8" w:color="auto"/>
              <w:bottom w:val="single" w:sz="8" w:color="auto"/>
            </w:tcBorders>
          </w:tcPr>
          <w:p>
            <w:pPr>
              <w:jc w:val="right"/>
              <w:ind w:right="154"/>
              <w:spacing w:after="0" w:line="149"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3"/>
                <w:szCs w:val="13"/>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January</w:t>
            </w:r>
          </w:p>
        </w:tc>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18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February</w:t>
            </w: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496</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393</w:t>
            </w:r>
          </w:p>
        </w:tc>
        <w:tc>
          <w:tcPr>
            <w:tcW w:w="18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w:t>
            </w:r>
          </w:p>
        </w:tc>
        <w:tc>
          <w:tcPr>
            <w:tcW w:w="18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First quarter average</w:t>
            </w:r>
          </w:p>
        </w:tc>
        <w:tc>
          <w:tcPr>
            <w:tcW w:w="254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w:t>
            </w:r>
          </w:p>
        </w:tc>
        <w:tc>
          <w:tcPr>
            <w:tcW w:w="420" w:type="dxa"/>
            <w:vAlign w:val="bottom"/>
            <w:gridSpan w:val="2"/>
            <w:shd w:val="clear" w:color="auto" w:fill="CCEEFF"/>
          </w:tcPr>
          <w:p>
            <w:pPr>
              <w:jc w:val="right"/>
              <w:ind w:right="5"/>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w:t>
            </w:r>
          </w:p>
        </w:tc>
        <w:tc>
          <w:tcPr>
            <w:tcW w:w="180" w:type="dxa"/>
            <w:vAlign w:val="bottom"/>
            <w:shd w:val="clear" w:color="auto" w:fill="CCEEFF"/>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First quarter percentage change</w:t>
            </w:r>
          </w:p>
        </w:tc>
        <w:tc>
          <w:tcPr>
            <w:tcW w:w="2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60" w:type="dxa"/>
            <w:vAlign w:val="bottom"/>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In addition, a Southern Yellow Pine (“SYP”) composite price, which we prepare and use, is presented below. Our purchases of this species comprised approximately 42% and 44% of total lumber purchases through the first three months of 2018 and 2017, respectively.</w:t>
      </w:r>
    </w:p>
    <w:p>
      <w:pPr>
        <w:spacing w:after="0" w:line="186" w:lineRule="exact"/>
        <w:rPr>
          <w:sz w:val="20"/>
          <w:szCs w:val="20"/>
          <w:color w:val="auto"/>
        </w:rPr>
      </w:pPr>
    </w:p>
    <w:p>
      <w:pPr>
        <w:jc w:val="center"/>
        <w:ind w:left="6800"/>
        <w:spacing w:after="0"/>
        <w:rPr>
          <w:sz w:val="20"/>
          <w:szCs w:val="20"/>
          <w:color w:val="auto"/>
        </w:rPr>
      </w:pPr>
      <w:r>
        <w:rPr>
          <w:rFonts w:ascii="Arial" w:cs="Arial" w:eastAsia="Arial" w:hAnsi="Arial"/>
          <w:sz w:val="14"/>
          <w:szCs w:val="14"/>
          <w:b w:val="1"/>
          <w:bCs w:val="1"/>
          <w:color w:val="auto"/>
        </w:rPr>
        <w:t>Random Lengths SYP</w:t>
      </w:r>
    </w:p>
    <w:p>
      <w:pPr>
        <w:jc w:val="center"/>
        <w:ind w:left="6800"/>
        <w:spacing w:after="0" w:line="236" w:lineRule="auto"/>
        <w:rPr>
          <w:sz w:val="20"/>
          <w:szCs w:val="20"/>
          <w:color w:val="auto"/>
        </w:rPr>
      </w:pPr>
      <w:r>
        <w:rPr>
          <w:rFonts w:ascii="Arial" w:cs="Arial" w:eastAsia="Arial" w:hAnsi="Arial"/>
          <w:sz w:val="14"/>
          <w:szCs w:val="14"/>
          <w:b w:val="1"/>
          <w:bCs w:val="1"/>
          <w:color w:val="auto"/>
        </w:rPr>
        <w:t>Average $/MBF</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4600" w:type="dxa"/>
            <w:vAlign w:val="bottom"/>
            <w:tcBorders>
              <w:bottom w:val="single" w:sz="8" w:color="CCEEFF"/>
            </w:tcBorders>
          </w:tcPr>
          <w:p>
            <w:pPr>
              <w:spacing w:after="0"/>
              <w:rPr>
                <w:sz w:val="14"/>
                <w:szCs w:val="14"/>
                <w:color w:val="auto"/>
              </w:rPr>
            </w:pPr>
          </w:p>
        </w:tc>
        <w:tc>
          <w:tcPr>
            <w:tcW w:w="2360" w:type="dxa"/>
            <w:vAlign w:val="bottom"/>
            <w:tcBorders>
              <w:bottom w:val="single" w:sz="8" w:color="CCEEFF"/>
            </w:tcBorders>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660" w:type="dxa"/>
            <w:vAlign w:val="bottom"/>
            <w:tcBorders>
              <w:top w:val="single" w:sz="8" w:color="auto"/>
              <w:bottom w:val="single" w:sz="8" w:color="auto"/>
            </w:tcBorders>
          </w:tcPr>
          <w:p>
            <w:pPr>
              <w:jc w:val="right"/>
              <w:ind w:right="193"/>
              <w:spacing w:after="0" w:line="155" w:lineRule="exact"/>
              <w:rPr>
                <w:sz w:val="20"/>
                <w:szCs w:val="20"/>
                <w:color w:val="auto"/>
              </w:rPr>
            </w:pPr>
            <w:r>
              <w:rPr>
                <w:rFonts w:ascii="Arial" w:cs="Arial" w:eastAsia="Arial" w:hAnsi="Arial"/>
                <w:sz w:val="14"/>
                <w:szCs w:val="14"/>
                <w:b w:val="1"/>
                <w:bCs w:val="1"/>
                <w:color w:val="auto"/>
              </w:rPr>
              <w:t>2018</w:t>
            </w:r>
          </w:p>
        </w:tc>
        <w:tc>
          <w:tcPr>
            <w:tcW w:w="2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bottom w:val="single" w:sz="8" w:color="CCEEFF"/>
            </w:tcBorders>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640" w:type="dxa"/>
            <w:vAlign w:val="bottom"/>
            <w:tcBorders>
              <w:top w:val="single" w:sz="8" w:color="auto"/>
              <w:bottom w:val="single" w:sz="8" w:color="auto"/>
            </w:tcBorders>
          </w:tcPr>
          <w:p>
            <w:pPr>
              <w:jc w:val="right"/>
              <w:ind w:right="174"/>
              <w:spacing w:after="0" w:line="155" w:lineRule="exact"/>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January</w:t>
            </w:r>
          </w:p>
        </w:tc>
        <w:tc>
          <w:tcPr>
            <w:tcW w:w="2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February</w:t>
            </w: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459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420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March</w:t>
            </w:r>
          </w:p>
        </w:tc>
        <w:tc>
          <w:tcPr>
            <w:tcW w:w="2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First quarter average</w:t>
            </w:r>
          </w:p>
        </w:tc>
        <w:tc>
          <w:tcPr>
            <w:tcW w:w="25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60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First quarter percentage change</w:t>
            </w:r>
          </w:p>
        </w:tc>
        <w:tc>
          <w:tcPr>
            <w:tcW w:w="2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IMPACT OF THE LUMBER MARKET ON OUR OPERATING RESULTS</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generally price our products to pass lumber costs through to our customers so that our profitability is based on the value-added manufacturing, distribution, engineering, and other services we provide. As a result, our sales levels (and working capital requirements) are impacted by the lumber costs of our products. Lumber costs were 53.1% and 52.1% of our sales in the first three months of 2018 and 2017, respectively.</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Our gross margins are impacted by (1) the relative level of the Lumber Market (i.e. whether prices are higher or lower from comparative periods), and (2) the trend in the market price of lumber (i.e. whether the price of lumber is increasing or decreasing within a period or from period to period). Moreover, as explained below, our products are priced differently. Some of our products have fixed selling prices, while the selling prices of other products are indexed to the reported Lumber Market with a fixed dollar adder to cover conversion costs and profits. Consequently, the level and trend of the Lumber Market impact our products differently.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Below is a general description of the primary ways in which our products are priced.</w:t>
      </w:r>
    </w:p>
    <w:p>
      <w:pPr>
        <w:spacing w:after="0" w:line="225" w:lineRule="exact"/>
        <w:rPr>
          <w:sz w:val="20"/>
          <w:szCs w:val="20"/>
          <w:color w:val="auto"/>
        </w:rPr>
      </w:pPr>
    </w:p>
    <w:p>
      <w:pPr>
        <w:ind w:left="820" w:right="300" w:hanging="331"/>
        <w:spacing w:after="0" w:line="302" w:lineRule="auto"/>
        <w:tabs>
          <w:tab w:leader="none" w:pos="820" w:val="left"/>
        </w:tabs>
        <w:numPr>
          <w:ilvl w:val="0"/>
          <w:numId w:val="12"/>
        </w:numPr>
        <w:rPr>
          <w:rFonts w:ascii="Arial" w:cs="Arial" w:eastAsia="Arial" w:hAnsi="Arial"/>
          <w:sz w:val="16"/>
          <w:szCs w:val="16"/>
          <w:color w:val="auto"/>
        </w:rPr>
      </w:pPr>
      <w:r>
        <w:rPr>
          <w:rFonts w:ascii="Arial" w:cs="Arial" w:eastAsia="Arial" w:hAnsi="Arial"/>
          <w:sz w:val="16"/>
          <w:szCs w:val="16"/>
          <w:u w:val="single" w:color="auto"/>
          <w:color w:val="auto"/>
        </w:rPr>
        <w:t>Products with fixed selling prices.</w:t>
      </w:r>
      <w:r>
        <w:rPr>
          <w:rFonts w:ascii="Arial" w:cs="Arial" w:eastAsia="Arial" w:hAnsi="Arial"/>
          <w:sz w:val="16"/>
          <w:szCs w:val="16"/>
          <w:color w:val="auto"/>
        </w:rPr>
        <w:t xml:space="preserve"> These products include value-added products such as deck components and fencing sold to retail customers, as well as trusses, wall panels and other components sold to the construction market, and most industrial packaging products. Prices for these products are generally fixed at the time of the sales quotation for a specified period of time or are based upon a specific quantity. In order to</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left="820" w:right="480"/>
        <w:spacing w:after="0" w:line="312" w:lineRule="auto"/>
        <w:rPr>
          <w:sz w:val="20"/>
          <w:szCs w:val="20"/>
          <w:color w:val="auto"/>
        </w:rPr>
      </w:pPr>
      <w:r>
        <w:rPr>
          <w:rFonts w:ascii="Arial" w:cs="Arial" w:eastAsia="Arial" w:hAnsi="Arial"/>
          <w:sz w:val="16"/>
          <w:szCs w:val="16"/>
          <w:color w:val="auto"/>
        </w:rPr>
        <w:t>maintain margins and reduce any exposure to adverse trends in the price of component lumber products, we attempt to lock in costs with our suppliers for these sales commitments. Also, the time period and quantity limitations eventually allow us to re-price our products for changes in lumber costs from our suppliers.</w:t>
      </w:r>
    </w:p>
    <w:p>
      <w:pPr>
        <w:spacing w:after="0" w:line="147" w:lineRule="exact"/>
        <w:rPr>
          <w:sz w:val="20"/>
          <w:szCs w:val="20"/>
          <w:color w:val="auto"/>
        </w:rPr>
      </w:pPr>
    </w:p>
    <w:p>
      <w:pPr>
        <w:ind w:left="820" w:right="20" w:hanging="331"/>
        <w:spacing w:after="0" w:line="276" w:lineRule="auto"/>
        <w:tabs>
          <w:tab w:leader="none" w:pos="820" w:val="left"/>
        </w:tabs>
        <w:numPr>
          <w:ilvl w:val="0"/>
          <w:numId w:val="13"/>
        </w:numPr>
        <w:rPr>
          <w:rFonts w:ascii="Arial" w:cs="Arial" w:eastAsia="Arial" w:hAnsi="Arial"/>
          <w:sz w:val="17"/>
          <w:szCs w:val="17"/>
          <w:color w:val="auto"/>
        </w:rPr>
      </w:pPr>
      <w:r>
        <w:rPr>
          <w:rFonts w:ascii="Arial" w:cs="Arial" w:eastAsia="Arial" w:hAnsi="Arial"/>
          <w:sz w:val="17"/>
          <w:szCs w:val="17"/>
          <w:u w:val="single" w:color="auto"/>
          <w:color w:val="auto"/>
        </w:rPr>
        <w:t>Products with selling prices indexed to the reported Lumber Market with a fixed dollar “adder” to cover conversion costs and profits.</w:t>
      </w:r>
      <w:r>
        <w:rPr>
          <w:rFonts w:ascii="Arial" w:cs="Arial" w:eastAsia="Arial" w:hAnsi="Arial"/>
          <w:sz w:val="17"/>
          <w:szCs w:val="17"/>
          <w:color w:val="auto"/>
        </w:rPr>
        <w:t xml:space="preserve"> These products primarily include treated lumber, remanufactured lumber, and trusses sold to the manufactured housing industry. For these products, we estimate the customers’ needs and we carry anticipated levels of inventory. Because lumber costs are incurred in advance of final sale prices, subsequent increases or decreases in the market price of lumber impact our gross margins.</w:t>
      </w:r>
    </w:p>
    <w:p>
      <w:pPr>
        <w:spacing w:after="0" w:line="17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For each of the product pricing categories above, our margins are exposed to changes in the trend of lumber prices.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greatest risk associated with changes in the </w:t>
      </w:r>
      <w:r>
        <w:rPr>
          <w:rFonts w:ascii="Arial" w:cs="Arial" w:eastAsia="Arial" w:hAnsi="Arial"/>
          <w:sz w:val="18"/>
          <w:szCs w:val="18"/>
          <w:u w:val="single" w:color="auto"/>
          <w:color w:val="auto"/>
        </w:rPr>
        <w:t>trend</w:t>
      </w:r>
      <w:r>
        <w:rPr>
          <w:rFonts w:ascii="Arial" w:cs="Arial" w:eastAsia="Arial" w:hAnsi="Arial"/>
          <w:sz w:val="18"/>
          <w:szCs w:val="18"/>
          <w:color w:val="auto"/>
        </w:rPr>
        <w:t xml:space="preserve"> of lumber prices is on the following products:</w:t>
      </w:r>
    </w:p>
    <w:p>
      <w:pPr>
        <w:spacing w:after="0" w:line="225" w:lineRule="exact"/>
        <w:rPr>
          <w:sz w:val="20"/>
          <w:szCs w:val="20"/>
          <w:color w:val="auto"/>
        </w:rPr>
      </w:pPr>
    </w:p>
    <w:p>
      <w:pPr>
        <w:ind w:left="820" w:right="40" w:hanging="331"/>
        <w:spacing w:after="0" w:line="218" w:lineRule="exact"/>
        <w:tabs>
          <w:tab w:leader="none" w:pos="82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Products with significant inventory levels with low turnover rates, whose selling prices are indexed to the Lumber Market.</w:t>
      </w:r>
      <w:r>
        <w:rPr>
          <w:rFonts w:ascii="Arial" w:cs="Arial" w:eastAsia="Arial" w:hAnsi="Arial"/>
          <w:sz w:val="18"/>
          <w:szCs w:val="18"/>
          <w:color w:val="auto"/>
        </w:rPr>
        <w:t xml:space="preserve"> In other words, the longer the period of time these products remain in inventory, the greater the exposure to changes in the price of lumber. This would include treated lumber, which comprises approximately 19% of our total sales. This exposure is less significant with remanufactured lumber, trusses sold to the manufactured housing market, and other similar products, due to the higher rate of inventory turnover. We attempt to mitigate the risk associated with treated lumber through vendor consignment inventory programs. (</w:t>
      </w:r>
      <w:r>
        <w:rPr>
          <w:rFonts w:ascii="Arial" w:cs="Arial" w:eastAsia="Arial" w:hAnsi="Arial"/>
          <w:sz w:val="18"/>
          <w:szCs w:val="18"/>
          <w:i w:val="1"/>
          <w:iCs w:val="1"/>
          <w:color w:val="auto"/>
        </w:rPr>
        <w:t>Please refer to the “Risk</w:t>
      </w:r>
      <w:r>
        <w:rPr>
          <w:rFonts w:ascii="Arial" w:cs="Arial" w:eastAsia="Arial" w:hAnsi="Arial"/>
          <w:sz w:val="18"/>
          <w:szCs w:val="18"/>
          <w:color w:val="auto"/>
        </w:rPr>
        <w:t xml:space="preserve"> </w:t>
      </w:r>
      <w:r>
        <w:rPr>
          <w:rFonts w:ascii="Arial" w:cs="Arial" w:eastAsia="Arial" w:hAnsi="Arial"/>
          <w:sz w:val="18"/>
          <w:szCs w:val="18"/>
          <w:i w:val="1"/>
          <w:iCs w:val="1"/>
          <w:color w:val="auto"/>
        </w:rPr>
        <w:t>Factors” section of our annual report on form 10</w:t>
      </w:r>
      <w:r>
        <w:rPr>
          <w:rFonts w:ascii="MS PGothic" w:cs="MS PGothic" w:eastAsia="MS PGothic" w:hAnsi="MS PGothic"/>
          <w:sz w:val="18"/>
          <w:szCs w:val="18"/>
          <w:i w:val="1"/>
          <w:iCs w:val="1"/>
          <w:color w:val="auto"/>
        </w:rPr>
        <w:t>‑</w:t>
      </w:r>
      <w:r>
        <w:rPr>
          <w:rFonts w:ascii="Arial" w:cs="Arial" w:eastAsia="Arial" w:hAnsi="Arial"/>
          <w:sz w:val="18"/>
          <w:szCs w:val="18"/>
          <w:i w:val="1"/>
          <w:iCs w:val="1"/>
          <w:color w:val="auto"/>
        </w:rPr>
        <w:t>K, filed with the United States Securities and Exchange Commission.</w:t>
      </w:r>
      <w:r>
        <w:rPr>
          <w:rFonts w:ascii="Arial" w:cs="Arial" w:eastAsia="Arial" w:hAnsi="Arial"/>
          <w:sz w:val="18"/>
          <w:szCs w:val="18"/>
          <w:color w:val="auto"/>
        </w:rPr>
        <w:t>)</w:t>
      </w:r>
    </w:p>
    <w:p>
      <w:pPr>
        <w:spacing w:after="0" w:line="206" w:lineRule="exact"/>
        <w:rPr>
          <w:rFonts w:ascii="Arial" w:cs="Arial" w:eastAsia="Arial" w:hAnsi="Arial"/>
          <w:sz w:val="18"/>
          <w:szCs w:val="18"/>
          <w:color w:val="auto"/>
        </w:rPr>
      </w:pPr>
    </w:p>
    <w:p>
      <w:pPr>
        <w:ind w:left="820" w:right="20" w:hanging="331"/>
        <w:spacing w:after="0" w:line="342" w:lineRule="auto"/>
        <w:tabs>
          <w:tab w:leader="none" w:pos="820" w:val="left"/>
        </w:tabs>
        <w:numPr>
          <w:ilvl w:val="0"/>
          <w:numId w:val="14"/>
        </w:numPr>
        <w:rPr>
          <w:rFonts w:ascii="Arial" w:cs="Arial" w:eastAsia="Arial" w:hAnsi="Arial"/>
          <w:sz w:val="16"/>
          <w:szCs w:val="16"/>
          <w:color w:val="auto"/>
        </w:rPr>
      </w:pPr>
      <w:r>
        <w:rPr>
          <w:rFonts w:ascii="Arial" w:cs="Arial" w:eastAsia="Arial" w:hAnsi="Arial"/>
          <w:sz w:val="16"/>
          <w:szCs w:val="16"/>
          <w:u w:val="single" w:color="auto"/>
          <w:color w:val="auto"/>
        </w:rPr>
        <w:t>Products with fixed selling prices sold under long-term supply arrangements, particularly those involving multi-family construction projects.</w:t>
      </w:r>
      <w:r>
        <w:rPr>
          <w:rFonts w:ascii="Arial" w:cs="Arial" w:eastAsia="Arial" w:hAnsi="Arial"/>
          <w:sz w:val="16"/>
          <w:szCs w:val="16"/>
          <w:color w:val="auto"/>
        </w:rPr>
        <w:t xml:space="preserve"> We attempt to mitigate this risk through our purchasing practices by locking in costs.</w:t>
      </w:r>
    </w:p>
    <w:p>
      <w:pPr>
        <w:spacing w:after="0" w:line="124"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In addition to the impact of the Lumber Market trends on gross margins, changes in the level of the market cause fluctuations in gross margins when comparing operating results from period to period. This is explained in the following example, which assumes the price of lumber has increased from period one to period two, with no changes in the trend within each period.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4"/>
              </w:rPr>
              <w:t>Period 1</w:t>
            </w:r>
          </w:p>
        </w:tc>
        <w:tc>
          <w:tcPr>
            <w:tcW w:w="120" w:type="dxa"/>
            <w:vAlign w:val="bottom"/>
          </w:tcPr>
          <w:p>
            <w:pPr>
              <w:spacing w:after="0"/>
              <w:rPr>
                <w:sz w:val="15"/>
                <w:szCs w:val="15"/>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Period 2</w:t>
            </w:r>
          </w:p>
        </w:tc>
      </w:tr>
      <w:tr>
        <w:trPr>
          <w:trHeight w:val="216"/>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Lumber cost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Borders>
              <w:top w:val="single" w:sz="8" w:color="CCEEFF"/>
            </w:tcBorders>
            <w:shd w:val="clear" w:color="auto" w:fill="CCEEFF"/>
          </w:tcPr>
          <w:p>
            <w:pPr>
              <w:spacing w:after="0"/>
              <w:rPr>
                <w:sz w:val="18"/>
                <w:szCs w:val="18"/>
                <w:color w:val="auto"/>
              </w:rPr>
            </w:pPr>
          </w:p>
        </w:tc>
      </w:tr>
      <w:tr>
        <w:trPr>
          <w:trHeight w:val="223"/>
        </w:trPr>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Conversion cost</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 Product cost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200" w:type="dxa"/>
            <w:vAlign w:val="bottom"/>
            <w:shd w:val="clear" w:color="auto" w:fill="CCEEFF"/>
          </w:tcPr>
          <w:p>
            <w:pPr>
              <w:spacing w:after="0"/>
              <w:rPr>
                <w:sz w:val="18"/>
                <w:szCs w:val="18"/>
                <w:color w:val="auto"/>
              </w:rPr>
            </w:pPr>
          </w:p>
        </w:tc>
      </w:tr>
      <w:tr>
        <w:trPr>
          <w:trHeight w:val="223"/>
        </w:trPr>
        <w:tc>
          <w:tcPr>
            <w:tcW w:w="7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Adder</w:t>
            </w: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200" w:type="dxa"/>
            <w:vAlign w:val="bottom"/>
            <w:tcBorders>
              <w:bottom w:val="single" w:sz="8" w:color="CCEEFF"/>
            </w:tcBorders>
          </w:tcPr>
          <w:p>
            <w:pPr>
              <w:spacing w:after="0"/>
              <w:rPr>
                <w:sz w:val="19"/>
                <w:szCs w:val="19"/>
                <w:color w:val="auto"/>
              </w:rPr>
            </w:pPr>
          </w:p>
        </w:tc>
      </w:tr>
      <w:tr>
        <w:trPr>
          <w:trHeight w:val="216"/>
        </w:trPr>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 Sell price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200" w:type="dxa"/>
            <w:vAlign w:val="bottom"/>
            <w:shd w:val="clear" w:color="auto" w:fill="CCEEFF"/>
          </w:tcPr>
          <w:p>
            <w:pPr>
              <w:spacing w:after="0"/>
              <w:rPr>
                <w:sz w:val="18"/>
                <w:szCs w:val="18"/>
                <w:color w:val="auto"/>
              </w:rPr>
            </w:pPr>
          </w:p>
        </w:tc>
      </w:tr>
      <w:tr>
        <w:trPr>
          <w:trHeight w:val="230"/>
        </w:trPr>
        <w:tc>
          <w:tcPr>
            <w:tcW w:w="7000" w:type="dxa"/>
            <w:vAlign w:val="bottom"/>
          </w:tcPr>
          <w:p>
            <w:pPr>
              <w:spacing w:after="0"/>
              <w:rPr>
                <w:sz w:val="20"/>
                <w:szCs w:val="20"/>
                <w:color w:val="auto"/>
              </w:rPr>
            </w:pPr>
            <w:r>
              <w:rPr>
                <w:rFonts w:ascii="Arial" w:cs="Arial" w:eastAsia="Arial" w:hAnsi="Arial"/>
                <w:sz w:val="18"/>
                <w:szCs w:val="18"/>
                <w:color w:val="auto"/>
              </w:rPr>
              <w:t>Gross margin</w:t>
            </w:r>
          </w:p>
        </w:tc>
        <w:tc>
          <w:tcPr>
            <w:tcW w:w="1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12.5 %</w:t>
            </w:r>
          </w:p>
        </w:tc>
        <w:tc>
          <w:tcPr>
            <w:tcW w:w="120" w:type="dxa"/>
            <w:vAlign w:val="bottom"/>
          </w:tcPr>
          <w:p>
            <w:pPr>
              <w:spacing w:after="0"/>
              <w:rPr>
                <w:sz w:val="20"/>
                <w:szCs w:val="20"/>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10.0 %</w:t>
            </w:r>
          </w:p>
        </w:tc>
      </w:tr>
    </w:tbl>
    <w:p>
      <w:pPr>
        <w:spacing w:after="0" w:line="18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 xml:space="preserve">As is apparent from the preceding example, the </w:t>
      </w:r>
      <w:r>
        <w:rPr>
          <w:rFonts w:ascii="Arial" w:cs="Arial" w:eastAsia="Arial" w:hAnsi="Arial"/>
          <w:sz w:val="16"/>
          <w:szCs w:val="16"/>
          <w:u w:val="single" w:color="auto"/>
          <w:color w:val="auto"/>
        </w:rPr>
        <w:t>level</w:t>
      </w:r>
      <w:r>
        <w:rPr>
          <w:rFonts w:ascii="Arial" w:cs="Arial" w:eastAsia="Arial" w:hAnsi="Arial"/>
          <w:sz w:val="16"/>
          <w:szCs w:val="16"/>
          <w:color w:val="auto"/>
        </w:rPr>
        <w:t xml:space="preserve"> of lumber prices does not impact our overall profits, but does impact our margins. Gross margins are negatively impacted during periods of high lumber prices; conversely, we experience margin improvement when lumber prices are relatively low. In order to more effectively evaluate our profitability in such periods, we believe it is useful to compare our change in units shipped with our changes in costs and profits.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We completed two business acquisitions during the first three months of 2018 and four during all of 2017. The annual historical sales attributable to acquisitions completed in the first three months 2018 and all of 2017 were approximately</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$33 million and $127 million, respectively. These business combinations were not significant to our quarterly or year-to-date operating results individually or in aggregate and thus pro forma results for 2018 or 2017 are not presented.</w:t>
      </w:r>
    </w:p>
    <w:p>
      <w:pPr>
        <w:spacing w:after="0" w:line="14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See Notes to the Unaudited Condensed Consolidated Financial Statements, Note F, “Business Combinations” for additional information.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The following table presents, for the periods indicated, the components of our Unaudited Condensed Consolidated Statements of Earnings as a percentage of net sales.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020" w:type="dxa"/>
            <w:vAlign w:val="bottom"/>
          </w:tcPr>
          <w:p>
            <w:pPr>
              <w:spacing w:after="0"/>
              <w:rPr>
                <w:sz w:val="15"/>
                <w:szCs w:val="15"/>
                <w:color w:val="auto"/>
              </w:rPr>
            </w:pPr>
          </w:p>
        </w:tc>
        <w:tc>
          <w:tcPr>
            <w:tcW w:w="1840" w:type="dxa"/>
            <w:vAlign w:val="bottom"/>
            <w:tcBorders>
              <w:bottom w:val="single" w:sz="8" w:color="auto"/>
            </w:tcBorders>
            <w:gridSpan w:val="3"/>
          </w:tcPr>
          <w:p>
            <w:pPr>
              <w:jc w:val="right"/>
              <w:ind w:right="173"/>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r>
      <w:tr>
        <w:trPr>
          <w:trHeight w:val="126"/>
        </w:trPr>
        <w:tc>
          <w:tcPr>
            <w:tcW w:w="7020" w:type="dxa"/>
            <w:vAlign w:val="bottom"/>
          </w:tcPr>
          <w:p>
            <w:pPr>
              <w:spacing w:after="0"/>
              <w:rPr>
                <w:sz w:val="10"/>
                <w:szCs w:val="10"/>
                <w:color w:val="auto"/>
              </w:rPr>
            </w:pPr>
          </w:p>
        </w:tc>
        <w:tc>
          <w:tcPr>
            <w:tcW w:w="800" w:type="dxa"/>
            <w:vAlign w:val="bottom"/>
          </w:tcPr>
          <w:p>
            <w:pPr>
              <w:jc w:val="right"/>
              <w:spacing w:after="0" w:line="126" w:lineRule="exact"/>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10"/>
                <w:szCs w:val="10"/>
                <w:color w:val="auto"/>
              </w:rPr>
            </w:pPr>
          </w:p>
        </w:tc>
        <w:tc>
          <w:tcPr>
            <w:tcW w:w="780" w:type="dxa"/>
            <w:vAlign w:val="bottom"/>
          </w:tcPr>
          <w:p>
            <w:pPr>
              <w:jc w:val="right"/>
              <w:ind w:right="73"/>
              <w:spacing w:after="0" w:line="126" w:lineRule="exact"/>
              <w:rPr>
                <w:sz w:val="20"/>
                <w:szCs w:val="20"/>
                <w:color w:val="auto"/>
              </w:rPr>
            </w:pPr>
            <w:r>
              <w:rPr>
                <w:rFonts w:ascii="Arial" w:cs="Arial" w:eastAsia="Arial" w:hAnsi="Arial"/>
                <w:sz w:val="14"/>
                <w:szCs w:val="14"/>
                <w:b w:val="1"/>
                <w:bCs w:val="1"/>
                <w:color w:val="auto"/>
              </w:rPr>
              <w:t>April 1,</w:t>
            </w:r>
          </w:p>
        </w:tc>
        <w:tc>
          <w:tcPr>
            <w:tcW w:w="200" w:type="dxa"/>
            <w:vAlign w:val="bottom"/>
          </w:tcPr>
          <w:p>
            <w:pPr>
              <w:spacing w:after="0"/>
              <w:rPr>
                <w:sz w:val="10"/>
                <w:szCs w:val="10"/>
                <w:color w:val="auto"/>
              </w:rPr>
            </w:pPr>
          </w:p>
        </w:tc>
      </w:tr>
      <w:tr>
        <w:trPr>
          <w:trHeight w:val="178"/>
        </w:trPr>
        <w:tc>
          <w:tcPr>
            <w:tcW w:w="7020" w:type="dxa"/>
            <w:vAlign w:val="bottom"/>
            <w:tcBorders>
              <w:bottom w:val="single" w:sz="8" w:color="CCEEFF"/>
            </w:tcBorders>
          </w:tcPr>
          <w:p>
            <w:pPr>
              <w:spacing w:after="0"/>
              <w:rPr>
                <w:sz w:val="15"/>
                <w:szCs w:val="15"/>
                <w:color w:val="auto"/>
              </w:rPr>
            </w:pPr>
          </w:p>
        </w:tc>
        <w:tc>
          <w:tcPr>
            <w:tcW w:w="80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260" w:type="dxa"/>
            <w:vAlign w:val="bottom"/>
            <w:tcBorders>
              <w:bottom w:val="single" w:sz="8" w:color="CCEEFF"/>
            </w:tcBorders>
          </w:tcPr>
          <w:p>
            <w:pPr>
              <w:spacing w:after="0"/>
              <w:rPr>
                <w:sz w:val="15"/>
                <w:szCs w:val="15"/>
                <w:color w:val="auto"/>
              </w:rPr>
            </w:pPr>
          </w:p>
        </w:tc>
        <w:tc>
          <w:tcPr>
            <w:tcW w:w="78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2017</w:t>
            </w:r>
          </w:p>
        </w:tc>
        <w:tc>
          <w:tcPr>
            <w:tcW w:w="200" w:type="dxa"/>
            <w:vAlign w:val="bottom"/>
            <w:tcBorders>
              <w:bottom w:val="single" w:sz="8" w:color="CCEEFF"/>
            </w:tcBorders>
          </w:tcPr>
          <w:p>
            <w:pPr>
              <w:spacing w:after="0"/>
              <w:rPr>
                <w:sz w:val="15"/>
                <w:szCs w:val="15"/>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7"/>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w:t>
            </w:r>
          </w:p>
        </w:tc>
      </w:tr>
      <w:tr>
        <w:trPr>
          <w:trHeight w:val="223"/>
        </w:trPr>
        <w:tc>
          <w:tcPr>
            <w:tcW w:w="70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goods sold</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86.8</w:t>
            </w:r>
          </w:p>
        </w:tc>
        <w:tc>
          <w:tcPr>
            <w:tcW w:w="26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85.7</w:t>
            </w:r>
          </w:p>
        </w:tc>
        <w:tc>
          <w:tcPr>
            <w:tcW w:w="200" w:type="dxa"/>
            <w:vAlign w:val="bottom"/>
            <w:tcBorders>
              <w:bottom w:val="single" w:sz="8" w:color="CCEEFF"/>
            </w:tcBorders>
          </w:tcPr>
          <w:p>
            <w:pPr>
              <w:spacing w:after="0"/>
              <w:rPr>
                <w:sz w:val="19"/>
                <w:szCs w:val="19"/>
                <w:color w:val="auto"/>
              </w:rPr>
            </w:pPr>
          </w:p>
        </w:tc>
      </w:tr>
      <w:tr>
        <w:trPr>
          <w:trHeight w:val="216"/>
        </w:trPr>
        <w:tc>
          <w:tcPr>
            <w:tcW w:w="70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200" w:type="dxa"/>
            <w:vAlign w:val="bottom"/>
            <w:shd w:val="clear" w:color="auto" w:fill="CCEEFF"/>
          </w:tcPr>
          <w:p>
            <w:pPr>
              <w:spacing w:after="0"/>
              <w:rPr>
                <w:sz w:val="18"/>
                <w:szCs w:val="18"/>
                <w:color w:val="auto"/>
              </w:rPr>
            </w:pPr>
          </w:p>
        </w:tc>
      </w:tr>
      <w:tr>
        <w:trPr>
          <w:trHeight w:val="216"/>
        </w:trPr>
        <w:tc>
          <w:tcPr>
            <w:tcW w:w="702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800" w:type="dxa"/>
            <w:vAlign w:val="bottom"/>
          </w:tcPr>
          <w:p>
            <w:pPr>
              <w:jc w:val="right"/>
              <w:spacing w:after="0"/>
              <w:rPr>
                <w:sz w:val="20"/>
                <w:szCs w:val="20"/>
                <w:color w:val="auto"/>
              </w:rPr>
            </w:pPr>
            <w:r>
              <w:rPr>
                <w:rFonts w:ascii="Arial" w:cs="Arial" w:eastAsia="Arial" w:hAnsi="Arial"/>
                <w:sz w:val="18"/>
                <w:szCs w:val="18"/>
                <w:color w:val="auto"/>
              </w:rPr>
              <w:t>9.4</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18"/>
                <w:szCs w:val="18"/>
                <w:color w:val="auto"/>
              </w:rPr>
            </w:pPr>
          </w:p>
        </w:tc>
      </w:tr>
      <w:tr>
        <w:trPr>
          <w:trHeight w:val="236"/>
        </w:trPr>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gain on disposition and impairment of assets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r>
      <w:tr>
        <w:trPr>
          <w:trHeight w:val="203"/>
        </w:trPr>
        <w:tc>
          <w:tcPr>
            <w:tcW w:w="7020" w:type="dxa"/>
            <w:vAlign w:val="bottom"/>
          </w:tcPr>
          <w:p>
            <w:pPr>
              <w:spacing w:after="0" w:line="203" w:lineRule="exact"/>
              <w:rPr>
                <w:sz w:val="20"/>
                <w:szCs w:val="20"/>
                <w:color w:val="auto"/>
              </w:rPr>
            </w:pPr>
            <w:r>
              <w:rPr>
                <w:rFonts w:ascii="Arial" w:cs="Arial" w:eastAsia="Arial" w:hAnsi="Arial"/>
                <w:sz w:val="18"/>
                <w:szCs w:val="18"/>
                <w:color w:val="auto"/>
              </w:rPr>
              <w:t>Earnings from operations</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4.4</w:t>
            </w:r>
          </w:p>
        </w:tc>
        <w:tc>
          <w:tcPr>
            <w:tcW w:w="2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4.0</w:t>
            </w:r>
          </w:p>
        </w:tc>
        <w:tc>
          <w:tcPr>
            <w:tcW w:w="200" w:type="dxa"/>
            <w:vAlign w:val="bottom"/>
          </w:tcPr>
          <w:p>
            <w:pPr>
              <w:spacing w:after="0"/>
              <w:rPr>
                <w:sz w:val="17"/>
                <w:szCs w:val="17"/>
                <w:color w:val="auto"/>
              </w:rPr>
            </w:pPr>
          </w:p>
        </w:tc>
      </w:tr>
      <w:tr>
        <w:trPr>
          <w:trHeight w:val="236"/>
        </w:trPr>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tcBorders>
              <w:bottom w:val="single" w:sz="8" w:color="CCEEFF"/>
            </w:tcBorders>
            <w:shd w:val="clear" w:color="auto" w:fill="CCEEFF"/>
          </w:tcPr>
          <w:p>
            <w:pPr>
              <w:spacing w:after="0"/>
              <w:rPr>
                <w:sz w:val="20"/>
                <w:szCs w:val="20"/>
                <w:color w:val="auto"/>
              </w:rPr>
            </w:pPr>
          </w:p>
        </w:tc>
      </w:tr>
      <w:tr>
        <w:trPr>
          <w:trHeight w:val="203"/>
        </w:trPr>
        <w:tc>
          <w:tcPr>
            <w:tcW w:w="7020" w:type="dxa"/>
            <w:vAlign w:val="bottom"/>
          </w:tcPr>
          <w:p>
            <w:pPr>
              <w:spacing w:after="0" w:line="203" w:lineRule="exact"/>
              <w:rPr>
                <w:sz w:val="20"/>
                <w:szCs w:val="20"/>
                <w:color w:val="auto"/>
              </w:rPr>
            </w:pPr>
            <w:r>
              <w:rPr>
                <w:rFonts w:ascii="Arial" w:cs="Arial" w:eastAsia="Arial" w:hAnsi="Arial"/>
                <w:sz w:val="18"/>
                <w:szCs w:val="18"/>
                <w:color w:val="auto"/>
              </w:rPr>
              <w:t>Earnings before income taxes</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4.3</w:t>
            </w:r>
          </w:p>
        </w:tc>
        <w:tc>
          <w:tcPr>
            <w:tcW w:w="2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3.8</w:t>
            </w:r>
          </w:p>
        </w:tc>
        <w:tc>
          <w:tcPr>
            <w:tcW w:w="200" w:type="dxa"/>
            <w:vAlign w:val="bottom"/>
          </w:tcPr>
          <w:p>
            <w:pPr>
              <w:spacing w:after="0"/>
              <w:rPr>
                <w:sz w:val="17"/>
                <w:szCs w:val="17"/>
                <w:color w:val="auto"/>
              </w:rPr>
            </w:pPr>
          </w:p>
        </w:tc>
      </w:tr>
      <w:tr>
        <w:trPr>
          <w:trHeight w:val="236"/>
        </w:trPr>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taxes</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CCEEFF"/>
            </w:tcBorders>
            <w:shd w:val="clear" w:color="auto" w:fill="CCEEFF"/>
          </w:tcPr>
          <w:p>
            <w:pPr>
              <w:spacing w:after="0"/>
              <w:rPr>
                <w:sz w:val="20"/>
                <w:szCs w:val="20"/>
                <w:color w:val="auto"/>
              </w:rPr>
            </w:pPr>
          </w:p>
        </w:tc>
      </w:tr>
      <w:tr>
        <w:trPr>
          <w:trHeight w:val="203"/>
        </w:trPr>
        <w:tc>
          <w:tcPr>
            <w:tcW w:w="7020" w:type="dxa"/>
            <w:vAlign w:val="bottom"/>
          </w:tcPr>
          <w:p>
            <w:pPr>
              <w:spacing w:after="0" w:line="203" w:lineRule="exact"/>
              <w:rPr>
                <w:sz w:val="20"/>
                <w:szCs w:val="20"/>
                <w:color w:val="auto"/>
              </w:rPr>
            </w:pPr>
            <w:r>
              <w:rPr>
                <w:rFonts w:ascii="Arial" w:cs="Arial" w:eastAsia="Arial" w:hAnsi="Arial"/>
                <w:sz w:val="18"/>
                <w:szCs w:val="18"/>
                <w:color w:val="auto"/>
              </w:rPr>
              <w:t>Net earnings</w:t>
            </w: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3.4</w:t>
            </w:r>
          </w:p>
        </w:tc>
        <w:tc>
          <w:tcPr>
            <w:tcW w:w="260" w:type="dxa"/>
            <w:vAlign w:val="bottom"/>
          </w:tcPr>
          <w:p>
            <w:pPr>
              <w:spacing w:after="0"/>
              <w:rPr>
                <w:sz w:val="17"/>
                <w:szCs w:val="17"/>
                <w:color w:val="auto"/>
              </w:rPr>
            </w:pPr>
          </w:p>
        </w:tc>
        <w:tc>
          <w:tcPr>
            <w:tcW w:w="780" w:type="dxa"/>
            <w:vAlign w:val="bottom"/>
          </w:tcPr>
          <w:p>
            <w:pPr>
              <w:jc w:val="right"/>
              <w:spacing w:after="0" w:line="203" w:lineRule="exact"/>
              <w:rPr>
                <w:sz w:val="20"/>
                <w:szCs w:val="20"/>
                <w:color w:val="auto"/>
              </w:rPr>
            </w:pPr>
            <w:r>
              <w:rPr>
                <w:rFonts w:ascii="Arial" w:cs="Arial" w:eastAsia="Arial" w:hAnsi="Arial"/>
                <w:sz w:val="18"/>
                <w:szCs w:val="18"/>
                <w:color w:val="auto"/>
              </w:rPr>
              <w:t>2.6</w:t>
            </w:r>
          </w:p>
        </w:tc>
        <w:tc>
          <w:tcPr>
            <w:tcW w:w="200" w:type="dxa"/>
            <w:vAlign w:val="bottom"/>
          </w:tcPr>
          <w:p>
            <w:pPr>
              <w:spacing w:after="0"/>
              <w:rPr>
                <w:sz w:val="17"/>
                <w:szCs w:val="17"/>
                <w:color w:val="auto"/>
              </w:rPr>
            </w:pPr>
          </w:p>
        </w:tc>
      </w:tr>
      <w:tr>
        <w:trPr>
          <w:trHeight w:val="236"/>
        </w:trPr>
        <w:tc>
          <w:tcPr>
            <w:tcW w:w="7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net earnings attributable to noncontrolling interest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6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0" w:type="dxa"/>
            <w:vAlign w:val="bottom"/>
            <w:tcBorders>
              <w:bottom w:val="single" w:sz="8" w:color="CCEEFF"/>
            </w:tcBorders>
            <w:shd w:val="clear" w:color="auto" w:fill="CCEEFF"/>
          </w:tcPr>
          <w:p>
            <w:pPr>
              <w:spacing w:after="0"/>
              <w:rPr>
                <w:sz w:val="20"/>
                <w:szCs w:val="20"/>
                <w:color w:val="auto"/>
              </w:rPr>
            </w:pPr>
          </w:p>
        </w:tc>
      </w:tr>
      <w:tr>
        <w:trPr>
          <w:trHeight w:val="210"/>
        </w:trPr>
        <w:tc>
          <w:tcPr>
            <w:tcW w:w="7020" w:type="dxa"/>
            <w:vAlign w:val="bottom"/>
          </w:tcPr>
          <w:p>
            <w:pPr>
              <w:spacing w:after="0" w:line="203" w:lineRule="exact"/>
              <w:rPr>
                <w:sz w:val="20"/>
                <w:szCs w:val="20"/>
                <w:color w:val="auto"/>
              </w:rPr>
            </w:pPr>
            <w:r>
              <w:rPr>
                <w:rFonts w:ascii="Arial" w:cs="Arial" w:eastAsia="Arial" w:hAnsi="Arial"/>
                <w:sz w:val="18"/>
                <w:szCs w:val="18"/>
                <w:color w:val="auto"/>
              </w:rPr>
              <w:t>Net earnings attributable to controlling interest</w:t>
            </w:r>
          </w:p>
        </w:tc>
        <w:tc>
          <w:tcPr>
            <w:tcW w:w="8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w:t>
            </w:r>
          </w:p>
        </w:tc>
        <w:tc>
          <w:tcPr>
            <w:tcW w:w="260" w:type="dxa"/>
            <w:vAlign w:val="bottom"/>
          </w:tcPr>
          <w:p>
            <w:pPr>
              <w:jc w:val="right"/>
              <w:ind w:right="10"/>
              <w:spacing w:after="0" w:line="203" w:lineRule="exact"/>
              <w:rPr>
                <w:sz w:val="20"/>
                <w:szCs w:val="20"/>
                <w:color w:val="auto"/>
              </w:rPr>
            </w:pPr>
            <w:r>
              <w:rPr>
                <w:rFonts w:ascii="Arial" w:cs="Arial" w:eastAsia="Arial" w:hAnsi="Arial"/>
                <w:sz w:val="18"/>
                <w:szCs w:val="18"/>
                <w:color w:val="auto"/>
                <w:w w:val="87"/>
              </w:rPr>
              <w:t>%</w:t>
            </w:r>
          </w:p>
        </w:tc>
        <w:tc>
          <w:tcPr>
            <w:tcW w:w="7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2.5</w:t>
            </w: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87"/>
              </w:rPr>
              <w:t>%</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Note: Actual percentages are calculated and may not sum to total due to rounding.</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SALES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design, manufacture and market wood and wood-alternative products for national home centers and other retailers, structural lumber and other products for the manufactured housing industry, engineered wood components for residential and commercial construction, specialty wood packaging, components and packing materials for various industries, and customized interior fixtures used in a variety of retail stores, commercial and other structures. Our strategic long-term sales objectives include:</w:t>
      </w:r>
    </w:p>
    <w:p>
      <w:pPr>
        <w:spacing w:after="0" w:line="188" w:lineRule="exact"/>
        <w:rPr>
          <w:sz w:val="20"/>
          <w:szCs w:val="20"/>
          <w:color w:val="auto"/>
        </w:rPr>
      </w:pPr>
    </w:p>
    <w:p>
      <w:pPr>
        <w:ind w:left="820" w:right="180" w:hanging="331"/>
        <w:spacing w:after="0" w:line="302" w:lineRule="auto"/>
        <w:tabs>
          <w:tab w:leader="none" w:pos="8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Diversifying our end market sales mix by increasing sales of specialty wood packaging to industrial users, increasing our penetration of the concrete forming market, increasing our sales of engineered wood components for custom home, multi-family, military and light commercial construction, increasing our market share with independent retailers, and increasing our sales of customized interior fixtures used in a variety of markets.</w:t>
      </w:r>
    </w:p>
    <w:p>
      <w:pPr>
        <w:spacing w:after="0" w:line="154" w:lineRule="exact"/>
        <w:rPr>
          <w:rFonts w:ascii="Arial" w:cs="Arial" w:eastAsia="Arial" w:hAnsi="Arial"/>
          <w:sz w:val="16"/>
          <w:szCs w:val="16"/>
          <w:color w:val="auto"/>
        </w:rPr>
      </w:pPr>
    </w:p>
    <w:p>
      <w:pPr>
        <w:ind w:left="820" w:hanging="331"/>
        <w:spacing w:after="0"/>
        <w:tabs>
          <w:tab w:leader="none" w:pos="8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Expanding geographically in our core businesses, domestically and internationally.</w:t>
      </w:r>
    </w:p>
    <w:p>
      <w:pPr>
        <w:spacing w:after="0" w:line="225" w:lineRule="exact"/>
        <w:rPr>
          <w:rFonts w:ascii="Arial" w:cs="Arial" w:eastAsia="Arial" w:hAnsi="Arial"/>
          <w:sz w:val="18"/>
          <w:szCs w:val="18"/>
          <w:color w:val="auto"/>
        </w:rPr>
      </w:pPr>
    </w:p>
    <w:p>
      <w:pPr>
        <w:ind w:left="820" w:right="40" w:hanging="331"/>
        <w:spacing w:after="0" w:line="273" w:lineRule="auto"/>
        <w:tabs>
          <w:tab w:leader="none" w:pos="8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Increasing sales of "value-added" products, which primarily consist of fencing, decking, lattice, and other specialty products sold to the retail market, specialty wood packaging, engineered wood components, customized interior fixtures, and "wood alternative" products. Engineered wood components include roof trusses, wall panels, and floor systems. Wood alternative products consist primarily of composite wood and plastics. Although we consider the treatment of dimensional lumber with certain chemical preservatives a value-added process, treated lumber is not presently included in the value-added sales totals.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left="820" w:hanging="331"/>
        <w:spacing w:after="0"/>
        <w:tabs>
          <w:tab w:leader="none" w:pos="8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Maximizing unit sales growth while achieving return on investment goals.</w:t>
      </w:r>
    </w:p>
    <w:p>
      <w:pPr>
        <w:spacing w:after="0" w:line="225" w:lineRule="exact"/>
        <w:rPr>
          <w:rFonts w:ascii="Arial" w:cs="Arial" w:eastAsia="Arial" w:hAnsi="Arial"/>
          <w:sz w:val="18"/>
          <w:szCs w:val="18"/>
          <w:color w:val="auto"/>
        </w:rPr>
      </w:pPr>
    </w:p>
    <w:p>
      <w:pPr>
        <w:ind w:left="820" w:right="360" w:hanging="331"/>
        <w:spacing w:after="0" w:line="308" w:lineRule="auto"/>
        <w:tabs>
          <w:tab w:leader="none" w:pos="8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Developing new products and expanding our product offering for existing customers. New product sales were $103.9 million in the first quarter of 2018 compared to $86.2 million during the first quarter of 2017.</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4"/>
          </w:tcPr>
          <w:p>
            <w:pPr>
              <w:jc w:val="center"/>
              <w:ind w:right="180"/>
              <w:spacing w:after="0"/>
              <w:rPr>
                <w:sz w:val="20"/>
                <w:szCs w:val="20"/>
                <w:color w:val="auto"/>
              </w:rPr>
            </w:pPr>
            <w:r>
              <w:rPr>
                <w:rFonts w:ascii="Arial" w:cs="Arial" w:eastAsia="Arial" w:hAnsi="Arial"/>
                <w:sz w:val="14"/>
                <w:szCs w:val="14"/>
                <w:b w:val="1"/>
                <w:bCs w:val="1"/>
                <w:color w:val="auto"/>
                <w:w w:val="94"/>
              </w:rPr>
              <w:t>New Product Sales by Market</w:t>
            </w:r>
          </w:p>
        </w:tc>
        <w:tc>
          <w:tcPr>
            <w:tcW w:w="14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2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34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3"/>
          </w:tcPr>
          <w:p>
            <w:pPr>
              <w:jc w:val="center"/>
              <w:ind w:right="460"/>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14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780" w:type="dxa"/>
            <w:vAlign w:val="bottom"/>
            <w:gridSpan w:val="2"/>
            <w:vMerge w:val="continue"/>
          </w:tcPr>
          <w:p>
            <w:pPr>
              <w:spacing w:after="0"/>
              <w:rPr>
                <w:sz w:val="10"/>
                <w:szCs w:val="10"/>
                <w:color w:val="auto"/>
              </w:rPr>
            </w:pPr>
          </w:p>
        </w:tc>
        <w:tc>
          <w:tcPr>
            <w:tcW w:w="10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jc w:val="right"/>
              <w:ind w:right="416"/>
              <w:spacing w:after="0" w:line="126" w:lineRule="exact"/>
              <w:rPr>
                <w:sz w:val="20"/>
                <w:szCs w:val="20"/>
                <w:color w:val="auto"/>
              </w:rPr>
            </w:pPr>
            <w:r>
              <w:rPr>
                <w:rFonts w:ascii="Arial" w:cs="Arial" w:eastAsia="Arial" w:hAnsi="Arial"/>
                <w:sz w:val="14"/>
                <w:szCs w:val="14"/>
                <w:b w:val="1"/>
                <w:bCs w:val="1"/>
                <w:color w:val="auto"/>
              </w:rPr>
              <w:t>March 31,</w:t>
            </w:r>
          </w:p>
        </w:tc>
        <w:tc>
          <w:tcPr>
            <w:tcW w:w="2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0" w:type="dxa"/>
            <w:vAlign w:val="bottom"/>
            <w:gridSpan w:val="2"/>
          </w:tcPr>
          <w:p>
            <w:pPr>
              <w:ind w:left="240"/>
              <w:spacing w:after="0" w:line="126" w:lineRule="exact"/>
              <w:rPr>
                <w:sz w:val="20"/>
                <w:szCs w:val="20"/>
                <w:color w:val="auto"/>
              </w:rPr>
            </w:pPr>
            <w:r>
              <w:rPr>
                <w:rFonts w:ascii="Arial" w:cs="Arial" w:eastAsia="Arial" w:hAnsi="Arial"/>
                <w:sz w:val="14"/>
                <w:szCs w:val="14"/>
                <w:b w:val="1"/>
                <w:bCs w:val="1"/>
                <w:color w:val="auto"/>
              </w:rPr>
              <w:t>April 1,</w:t>
            </w: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Market Classification</w:t>
            </w:r>
          </w:p>
        </w:tc>
        <w:tc>
          <w:tcPr>
            <w:tcW w:w="14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6"/>
                <w:szCs w:val="16"/>
                <w:color w:val="auto"/>
              </w:rPr>
            </w:pPr>
          </w:p>
        </w:tc>
        <w:tc>
          <w:tcPr>
            <w:tcW w:w="144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3"/>
        </w:trPr>
        <w:tc>
          <w:tcPr>
            <w:tcW w:w="27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10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55,243</w:t>
            </w:r>
          </w:p>
        </w:tc>
        <w:tc>
          <w:tcPr>
            <w:tcW w:w="2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56"/>
              <w:spacing w:after="0" w:line="203" w:lineRule="exact"/>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48,014</w:t>
            </w:r>
          </w:p>
        </w:tc>
        <w:tc>
          <w:tcPr>
            <w:tcW w:w="30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16"/>
        </w:trPr>
        <w:tc>
          <w:tcPr>
            <w:tcW w:w="278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10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28,955</w:t>
            </w: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24,420</w:t>
            </w:r>
          </w:p>
        </w:tc>
        <w:tc>
          <w:tcPr>
            <w:tcW w:w="3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6"/>
        </w:trPr>
        <w:tc>
          <w:tcPr>
            <w:tcW w:w="27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10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19,668</w:t>
            </w:r>
          </w:p>
        </w:tc>
        <w:tc>
          <w:tcPr>
            <w:tcW w:w="2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13,745</w:t>
            </w:r>
          </w:p>
        </w:tc>
        <w:tc>
          <w:tcPr>
            <w:tcW w:w="3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0" w:type="dxa"/>
            <w:vAlign w:val="bottom"/>
          </w:tcPr>
          <w:p>
            <w:pPr>
              <w:spacing w:after="0"/>
              <w:rPr>
                <w:sz w:val="1"/>
                <w:szCs w:val="1"/>
                <w:color w:val="auto"/>
              </w:rPr>
            </w:pPr>
          </w:p>
        </w:tc>
      </w:tr>
      <w:tr>
        <w:trPr>
          <w:trHeight w:val="210"/>
        </w:trPr>
        <w:tc>
          <w:tcPr>
            <w:tcW w:w="2780" w:type="dxa"/>
            <w:vAlign w:val="bottom"/>
            <w:gridSpan w:val="2"/>
          </w:tcPr>
          <w:p>
            <w:pPr>
              <w:spacing w:after="0" w:line="203" w:lineRule="exact"/>
              <w:rPr>
                <w:sz w:val="20"/>
                <w:szCs w:val="20"/>
                <w:color w:val="auto"/>
              </w:rPr>
            </w:pPr>
            <w:r>
              <w:rPr>
                <w:rFonts w:ascii="Arial" w:cs="Arial" w:eastAsia="Arial" w:hAnsi="Arial"/>
                <w:sz w:val="18"/>
                <w:szCs w:val="18"/>
                <w:color w:val="auto"/>
              </w:rPr>
              <w:t>Total New Product Sales</w:t>
            </w:r>
          </w:p>
        </w:tc>
        <w:tc>
          <w:tcPr>
            <w:tcW w:w="1000" w:type="dxa"/>
            <w:vAlign w:val="bottom"/>
          </w:tcPr>
          <w:p>
            <w:pPr>
              <w:spacing w:after="0"/>
              <w:rPr>
                <w:sz w:val="18"/>
                <w:szCs w:val="18"/>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103,866</w:t>
            </w:r>
          </w:p>
        </w:tc>
        <w:tc>
          <w:tcPr>
            <w:tcW w:w="280" w:type="dxa"/>
            <w:vAlign w:val="bottom"/>
          </w:tcPr>
          <w:p>
            <w:pPr>
              <w:spacing w:after="0"/>
              <w:rPr>
                <w:sz w:val="18"/>
                <w:szCs w:val="18"/>
                <w:color w:val="auto"/>
              </w:rPr>
            </w:pPr>
          </w:p>
        </w:tc>
        <w:tc>
          <w:tcPr>
            <w:tcW w:w="340" w:type="dxa"/>
            <w:vAlign w:val="bottom"/>
            <w:tcBorders>
              <w:bottom w:val="single" w:sz="8" w:color="auto"/>
            </w:tcBorders>
          </w:tcPr>
          <w:p>
            <w:pPr>
              <w:jc w:val="right"/>
              <w:ind w:right="156"/>
              <w:spacing w:after="0" w:line="203" w:lineRule="exact"/>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86,179</w:t>
            </w:r>
          </w:p>
        </w:tc>
        <w:tc>
          <w:tcPr>
            <w:tcW w:w="300" w:type="dxa"/>
            <w:vAlign w:val="bottom"/>
          </w:tcPr>
          <w:p>
            <w:pPr>
              <w:spacing w:after="0"/>
              <w:rPr>
                <w:sz w:val="18"/>
                <w:szCs w:val="18"/>
                <w:color w:val="auto"/>
              </w:rPr>
            </w:pPr>
          </w:p>
        </w:tc>
        <w:tc>
          <w:tcPr>
            <w:tcW w:w="14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00" w:right="280"/>
        <w:spacing w:after="0" w:line="253" w:lineRule="auto"/>
        <w:rPr>
          <w:sz w:val="20"/>
          <w:szCs w:val="20"/>
          <w:color w:val="auto"/>
        </w:rPr>
      </w:pPr>
      <w:r>
        <w:rPr>
          <w:rFonts w:ascii="Arial" w:cs="Arial" w:eastAsia="Arial" w:hAnsi="Arial"/>
          <w:sz w:val="14"/>
          <w:szCs w:val="14"/>
          <w:color w:val="auto"/>
        </w:rPr>
        <w:t>Note: Certain prior year product reclassifications and the change in designation of certain products as “new” resulted in a change in prior year’s sales.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Value-Added and Commodity-Based Sales:</w:t>
      </w:r>
    </w:p>
    <w:p>
      <w:pPr>
        <w:spacing w:after="0" w:line="229"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following table presents, for the periods indicated, our percentage of value-added and commodity-based sales to total sales. Value-added products generally carry higher gross margins than our commodity-based products.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6980" w:type="dxa"/>
            <w:vAlign w:val="bottom"/>
          </w:tcPr>
          <w:p>
            <w:pPr>
              <w:spacing w:after="0"/>
              <w:rPr>
                <w:sz w:val="15"/>
                <w:szCs w:val="15"/>
                <w:color w:val="auto"/>
              </w:rPr>
            </w:pPr>
          </w:p>
        </w:tc>
        <w:tc>
          <w:tcPr>
            <w:tcW w:w="2080" w:type="dxa"/>
            <w:vAlign w:val="bottom"/>
            <w:tcBorders>
              <w:bottom w:val="single" w:sz="8" w:color="auto"/>
            </w:tcBorders>
            <w:gridSpan w:val="3"/>
          </w:tcPr>
          <w:p>
            <w:pPr>
              <w:ind w:left="400"/>
              <w:spacing w:after="0"/>
              <w:rPr>
                <w:sz w:val="20"/>
                <w:szCs w:val="20"/>
                <w:color w:val="auto"/>
              </w:rPr>
            </w:pPr>
            <w:r>
              <w:rPr>
                <w:rFonts w:ascii="Arial" w:cs="Arial" w:eastAsia="Arial" w:hAnsi="Arial"/>
                <w:sz w:val="14"/>
                <w:szCs w:val="14"/>
                <w:b w:val="1"/>
                <w:bCs w:val="1"/>
                <w:color w:val="auto"/>
              </w:rPr>
              <w:t>Three Months Ended</w:t>
            </w:r>
          </w:p>
        </w:tc>
      </w:tr>
      <w:tr>
        <w:trPr>
          <w:trHeight w:val="126"/>
        </w:trPr>
        <w:tc>
          <w:tcPr>
            <w:tcW w:w="6980" w:type="dxa"/>
            <w:vAlign w:val="bottom"/>
          </w:tcPr>
          <w:p>
            <w:pPr>
              <w:spacing w:after="0"/>
              <w:rPr>
                <w:sz w:val="10"/>
                <w:szCs w:val="10"/>
                <w:color w:val="auto"/>
              </w:rPr>
            </w:pPr>
          </w:p>
        </w:tc>
        <w:tc>
          <w:tcPr>
            <w:tcW w:w="1160" w:type="dxa"/>
            <w:vAlign w:val="bottom"/>
            <w:gridSpan w:val="2"/>
          </w:tcPr>
          <w:p>
            <w:pPr>
              <w:ind w:left="200"/>
              <w:spacing w:after="0" w:line="126" w:lineRule="exact"/>
              <w:rPr>
                <w:sz w:val="20"/>
                <w:szCs w:val="20"/>
                <w:color w:val="auto"/>
              </w:rPr>
            </w:pPr>
            <w:r>
              <w:rPr>
                <w:rFonts w:ascii="Arial" w:cs="Arial" w:eastAsia="Arial" w:hAnsi="Arial"/>
                <w:sz w:val="14"/>
                <w:szCs w:val="14"/>
                <w:b w:val="1"/>
                <w:bCs w:val="1"/>
                <w:color w:val="auto"/>
              </w:rPr>
              <w:t>March 31,</w:t>
            </w:r>
          </w:p>
        </w:tc>
        <w:tc>
          <w:tcPr>
            <w:tcW w:w="920" w:type="dxa"/>
            <w:vAlign w:val="bottom"/>
          </w:tcPr>
          <w:p>
            <w:pPr>
              <w:jc w:val="right"/>
              <w:ind w:right="139"/>
              <w:spacing w:after="0" w:line="126" w:lineRule="exact"/>
              <w:rPr>
                <w:sz w:val="20"/>
                <w:szCs w:val="20"/>
                <w:color w:val="auto"/>
              </w:rPr>
            </w:pPr>
            <w:r>
              <w:rPr>
                <w:rFonts w:ascii="Arial" w:cs="Arial" w:eastAsia="Arial" w:hAnsi="Arial"/>
                <w:sz w:val="14"/>
                <w:szCs w:val="14"/>
                <w:b w:val="1"/>
                <w:bCs w:val="1"/>
                <w:color w:val="auto"/>
              </w:rPr>
              <w:t>April 1,</w:t>
            </w:r>
          </w:p>
        </w:tc>
      </w:tr>
      <w:tr>
        <w:trPr>
          <w:trHeight w:val="178"/>
        </w:trPr>
        <w:tc>
          <w:tcPr>
            <w:tcW w:w="698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2017</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Value-Added</w:t>
            </w:r>
          </w:p>
        </w:tc>
        <w:tc>
          <w:tcPr>
            <w:tcW w:w="10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61.7 %</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62.9 %</w:t>
            </w:r>
          </w:p>
        </w:tc>
      </w:tr>
      <w:tr>
        <w:trPr>
          <w:trHeight w:val="230"/>
        </w:trPr>
        <w:tc>
          <w:tcPr>
            <w:tcW w:w="6980" w:type="dxa"/>
            <w:vAlign w:val="bottom"/>
          </w:tcPr>
          <w:p>
            <w:pPr>
              <w:spacing w:after="0"/>
              <w:rPr>
                <w:sz w:val="20"/>
                <w:szCs w:val="20"/>
                <w:color w:val="auto"/>
              </w:rPr>
            </w:pPr>
            <w:r>
              <w:rPr>
                <w:rFonts w:ascii="Arial" w:cs="Arial" w:eastAsia="Arial" w:hAnsi="Arial"/>
                <w:sz w:val="18"/>
                <w:szCs w:val="18"/>
                <w:color w:val="auto"/>
              </w:rPr>
              <w:t>Commodity-Based</w:t>
            </w:r>
          </w:p>
        </w:tc>
        <w:tc>
          <w:tcPr>
            <w:tcW w:w="1020" w:type="dxa"/>
            <w:vAlign w:val="bottom"/>
          </w:tcPr>
          <w:p>
            <w:pPr>
              <w:ind w:left="400"/>
              <w:spacing w:after="0"/>
              <w:rPr>
                <w:sz w:val="20"/>
                <w:szCs w:val="20"/>
                <w:color w:val="auto"/>
              </w:rPr>
            </w:pPr>
            <w:r>
              <w:rPr>
                <w:rFonts w:ascii="Arial" w:cs="Arial" w:eastAsia="Arial" w:hAnsi="Arial"/>
                <w:sz w:val="18"/>
                <w:szCs w:val="18"/>
                <w:color w:val="auto"/>
              </w:rPr>
              <w:t>38.3 %</w:t>
            </w: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37.1 %</w:t>
            </w:r>
          </w:p>
        </w:tc>
      </w:tr>
    </w:tbl>
    <w:p>
      <w:pPr>
        <w:spacing w:after="0" w:line="200" w:lineRule="exact"/>
        <w:rPr>
          <w:sz w:val="20"/>
          <w:szCs w:val="20"/>
          <w:color w:val="auto"/>
        </w:rPr>
      </w:pPr>
    </w:p>
    <w:p>
      <w:pPr>
        <w:spacing w:after="0" w:line="204"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following table presents, for the periods indicated, our gross sales and percentage change in gross sales by market classification.</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2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3"/>
          </w:tcPr>
          <w:p>
            <w:pPr>
              <w:jc w:val="right"/>
              <w:ind w:right="580"/>
              <w:spacing w:after="0"/>
              <w:rPr>
                <w:sz w:val="20"/>
                <w:szCs w:val="20"/>
                <w:color w:val="auto"/>
              </w:rPr>
            </w:pPr>
            <w:r>
              <w:rPr>
                <w:rFonts w:ascii="Arial" w:cs="Arial" w:eastAsia="Arial" w:hAnsi="Arial"/>
                <w:sz w:val="14"/>
                <w:szCs w:val="14"/>
                <w:b w:val="1"/>
                <w:bCs w:val="1"/>
                <w:color w:val="auto"/>
                <w:w w:val="96"/>
              </w:rPr>
              <w:t>Three Months Ended</w:t>
            </w:r>
          </w:p>
        </w:tc>
        <w:tc>
          <w:tcPr>
            <w:tcW w:w="14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560" w:type="dxa"/>
            <w:vAlign w:val="bottom"/>
            <w:gridSpan w:val="2"/>
            <w:vMerge w:val="continue"/>
          </w:tcPr>
          <w:p>
            <w:pPr>
              <w:spacing w:after="0"/>
              <w:rPr>
                <w:sz w:val="10"/>
                <w:szCs w:val="10"/>
                <w:color w:val="auto"/>
              </w:rPr>
            </w:pPr>
          </w:p>
        </w:tc>
        <w:tc>
          <w:tcPr>
            <w:tcW w:w="12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340" w:type="dxa"/>
            <w:vAlign w:val="bottom"/>
          </w:tcPr>
          <w:p>
            <w:pPr>
              <w:jc w:val="right"/>
              <w:ind w:right="414"/>
              <w:spacing w:after="0" w:line="126" w:lineRule="exact"/>
              <w:rPr>
                <w:sz w:val="20"/>
                <w:szCs w:val="20"/>
                <w:color w:val="auto"/>
              </w:rPr>
            </w:pPr>
            <w:r>
              <w:rPr>
                <w:rFonts w:ascii="Arial" w:cs="Arial" w:eastAsia="Arial" w:hAnsi="Arial"/>
                <w:sz w:val="14"/>
                <w:szCs w:val="14"/>
                <w:b w:val="1"/>
                <w:bCs w:val="1"/>
                <w:color w:val="auto"/>
              </w:rPr>
              <w:t>March 31,</w:t>
            </w: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0" w:type="dxa"/>
            <w:vAlign w:val="bottom"/>
            <w:gridSpan w:val="2"/>
          </w:tcPr>
          <w:p>
            <w:pPr>
              <w:jc w:val="right"/>
              <w:ind w:right="880"/>
              <w:spacing w:after="0" w:line="126" w:lineRule="exact"/>
              <w:rPr>
                <w:sz w:val="20"/>
                <w:szCs w:val="20"/>
                <w:color w:val="auto"/>
              </w:rPr>
            </w:pPr>
            <w:r>
              <w:rPr>
                <w:rFonts w:ascii="Arial" w:cs="Arial" w:eastAsia="Arial" w:hAnsi="Arial"/>
                <w:sz w:val="14"/>
                <w:szCs w:val="14"/>
                <w:b w:val="1"/>
                <w:bCs w:val="1"/>
                <w:color w:val="auto"/>
              </w:rPr>
              <w:t>April 1,</w:t>
            </w:r>
          </w:p>
        </w:tc>
        <w:tc>
          <w:tcPr>
            <w:tcW w:w="1420" w:type="dxa"/>
            <w:vAlign w:val="bottom"/>
          </w:tcPr>
          <w:p>
            <w:pPr>
              <w:jc w:val="right"/>
              <w:ind w:right="554"/>
              <w:spacing w:after="0" w:line="126"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Market Classification</w:t>
            </w:r>
          </w:p>
        </w:tc>
        <w:tc>
          <w:tcPr>
            <w:tcW w:w="1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2017</w:t>
            </w:r>
          </w:p>
        </w:tc>
        <w:tc>
          <w:tcPr>
            <w:tcW w:w="300" w:type="dxa"/>
            <w:vAlign w:val="bottom"/>
          </w:tcPr>
          <w:p>
            <w:pPr>
              <w:spacing w:after="0"/>
              <w:rPr>
                <w:sz w:val="16"/>
                <w:szCs w:val="16"/>
                <w:color w:val="auto"/>
              </w:rPr>
            </w:pPr>
          </w:p>
        </w:tc>
        <w:tc>
          <w:tcPr>
            <w:tcW w:w="14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03"/>
        </w:trPr>
        <w:tc>
          <w:tcPr>
            <w:tcW w:w="25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1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370,961</w:t>
            </w:r>
          </w:p>
        </w:tc>
        <w:tc>
          <w:tcPr>
            <w:tcW w:w="3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312,352</w:t>
            </w:r>
          </w:p>
        </w:tc>
        <w:tc>
          <w:tcPr>
            <w:tcW w:w="3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16"/>
        </w:trPr>
        <w:tc>
          <w:tcPr>
            <w:tcW w:w="256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1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332,966</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280,599</w:t>
            </w:r>
          </w:p>
        </w:tc>
        <w:tc>
          <w:tcPr>
            <w:tcW w:w="30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18.7</w:t>
            </w:r>
          </w:p>
        </w:tc>
        <w:tc>
          <w:tcPr>
            <w:tcW w:w="0" w:type="dxa"/>
            <w:vAlign w:val="bottom"/>
          </w:tcPr>
          <w:p>
            <w:pPr>
              <w:spacing w:after="0"/>
              <w:rPr>
                <w:sz w:val="1"/>
                <w:szCs w:val="1"/>
                <w:color w:val="auto"/>
              </w:rPr>
            </w:pPr>
          </w:p>
        </w:tc>
      </w:tr>
      <w:tr>
        <w:trPr>
          <w:trHeight w:val="236"/>
        </w:trPr>
        <w:tc>
          <w:tcPr>
            <w:tcW w:w="25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12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307,740</w:t>
            </w:r>
          </w:p>
        </w:tc>
        <w:tc>
          <w:tcPr>
            <w:tcW w:w="3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265,906</w:t>
            </w:r>
          </w:p>
        </w:tc>
        <w:tc>
          <w:tcPr>
            <w:tcW w:w="3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3"/>
        </w:trPr>
        <w:tc>
          <w:tcPr>
            <w:tcW w:w="2560" w:type="dxa"/>
            <w:vAlign w:val="bottom"/>
            <w:gridSpan w:val="2"/>
          </w:tcPr>
          <w:p>
            <w:pPr>
              <w:spacing w:after="0" w:line="203" w:lineRule="exact"/>
              <w:rPr>
                <w:sz w:val="20"/>
                <w:szCs w:val="20"/>
                <w:color w:val="auto"/>
              </w:rPr>
            </w:pPr>
            <w:r>
              <w:rPr>
                <w:rFonts w:ascii="Arial" w:cs="Arial" w:eastAsia="Arial" w:hAnsi="Arial"/>
                <w:sz w:val="18"/>
                <w:szCs w:val="18"/>
                <w:color w:val="auto"/>
              </w:rPr>
              <w:t>Total Gross Sales</w:t>
            </w:r>
          </w:p>
        </w:tc>
        <w:tc>
          <w:tcPr>
            <w:tcW w:w="1220" w:type="dxa"/>
            <w:vAlign w:val="bottom"/>
          </w:tcPr>
          <w:p>
            <w:pPr>
              <w:spacing w:after="0"/>
              <w:rPr>
                <w:sz w:val="17"/>
                <w:szCs w:val="17"/>
                <w:color w:val="auto"/>
              </w:rPr>
            </w:pPr>
          </w:p>
        </w:tc>
        <w:tc>
          <w:tcPr>
            <w:tcW w:w="280" w:type="dxa"/>
            <w:vAlign w:val="bottom"/>
          </w:tcPr>
          <w:p>
            <w:pPr>
              <w:jc w:val="right"/>
              <w:ind w:right="125"/>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line="203" w:lineRule="exact"/>
              <w:rPr>
                <w:sz w:val="20"/>
                <w:szCs w:val="20"/>
                <w:color w:val="auto"/>
              </w:rPr>
            </w:pPr>
            <w:r>
              <w:rPr>
                <w:rFonts w:ascii="Arial" w:cs="Arial" w:eastAsia="Arial" w:hAnsi="Arial"/>
                <w:sz w:val="18"/>
                <w:szCs w:val="18"/>
                <w:color w:val="auto"/>
              </w:rPr>
              <w:t>1,011,667</w:t>
            </w:r>
          </w:p>
        </w:tc>
        <w:tc>
          <w:tcPr>
            <w:tcW w:w="320" w:type="dxa"/>
            <w:vAlign w:val="bottom"/>
          </w:tcPr>
          <w:p>
            <w:pPr>
              <w:spacing w:after="0"/>
              <w:rPr>
                <w:sz w:val="17"/>
                <w:szCs w:val="17"/>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1300" w:type="dxa"/>
            <w:vAlign w:val="bottom"/>
          </w:tcPr>
          <w:p>
            <w:pPr>
              <w:jc w:val="right"/>
              <w:spacing w:after="0" w:line="203" w:lineRule="exact"/>
              <w:rPr>
                <w:sz w:val="20"/>
                <w:szCs w:val="20"/>
                <w:color w:val="auto"/>
              </w:rPr>
            </w:pPr>
            <w:r>
              <w:rPr>
                <w:rFonts w:ascii="Arial" w:cs="Arial" w:eastAsia="Arial" w:hAnsi="Arial"/>
                <w:sz w:val="18"/>
                <w:szCs w:val="18"/>
                <w:color w:val="auto"/>
              </w:rPr>
              <w:t>858,857</w:t>
            </w:r>
          </w:p>
        </w:tc>
        <w:tc>
          <w:tcPr>
            <w:tcW w:w="30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36"/>
        </w:trPr>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12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(17,810)</w:t>
            </w:r>
          </w:p>
        </w:tc>
        <w:tc>
          <w:tcPr>
            <w:tcW w:w="3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(12,727)</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0" w:type="dxa"/>
            <w:vAlign w:val="bottom"/>
          </w:tcPr>
          <w:p>
            <w:pPr>
              <w:spacing w:after="0"/>
              <w:rPr>
                <w:sz w:val="1"/>
                <w:szCs w:val="1"/>
                <w:color w:val="auto"/>
              </w:rPr>
            </w:pPr>
          </w:p>
        </w:tc>
      </w:tr>
      <w:tr>
        <w:trPr>
          <w:trHeight w:val="210"/>
        </w:trPr>
        <w:tc>
          <w:tcPr>
            <w:tcW w:w="256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Net Sales</w:t>
            </w:r>
          </w:p>
        </w:tc>
        <w:tc>
          <w:tcPr>
            <w:tcW w:w="1220" w:type="dxa"/>
            <w:vAlign w:val="bottom"/>
            <w:tcBorders>
              <w:top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993,857</w:t>
            </w:r>
          </w:p>
        </w:tc>
        <w:tc>
          <w:tcPr>
            <w:tcW w:w="320" w:type="dxa"/>
            <w:vAlign w:val="bottom"/>
            <w:tcBorders>
              <w:top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86"/>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846,130</w:t>
            </w:r>
          </w:p>
        </w:tc>
        <w:tc>
          <w:tcPr>
            <w:tcW w:w="300" w:type="dxa"/>
            <w:vAlign w:val="bottom"/>
            <w:tcBorders>
              <w:top w:val="single" w:sz="8" w:color="CCEEFF"/>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00"/>
        <w:spacing w:after="0"/>
        <w:rPr>
          <w:sz w:val="20"/>
          <w:szCs w:val="20"/>
          <w:color w:val="auto"/>
        </w:rPr>
      </w:pPr>
      <w:r>
        <w:rPr>
          <w:rFonts w:ascii="Arial" w:cs="Arial" w:eastAsia="Arial" w:hAnsi="Arial"/>
          <w:sz w:val="13"/>
          <w:szCs w:val="13"/>
          <w:color w:val="auto"/>
        </w:rPr>
        <w:t>Note: During 2018, certain customers were reclassified to a different market. Prior year information has been restated to reflect these changes.</w:t>
      </w:r>
    </w:p>
    <w:p>
      <w:pPr>
        <w:spacing w:after="0" w:line="220"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Gross sales in the first quarter of 2018 increased 18% compared to the same period of 2017, due to a 9% increase in unit sales and a 9% increase in selling prices primarily due to the Lumber Market. Acquired operations contributed 4% to our unit sales growth, and our organic unit sales growth was 5%.</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Changes in our gross sales by market are discussed below.</w:t>
      </w: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Retail:</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Gross sales to the retail market increased almost 19% in the first quarter of 2018 compared to the same period of 2017, due to a 10% increase in unit sales and a 9% increase in selling prices. Within this market, sales to our big box customers increased over 15%, and sales to other independent retailers increased 24%. Businesses we acquired contributed 7% to our growth in unit sales, primarily to independent retail customers. Our organic unit growth was 3% for the quarter and was adversely impacted by inclement weather in certain areas of the U.S.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Industrial:</w:t>
      </w:r>
    </w:p>
    <w:p>
      <w:pPr>
        <w:spacing w:after="0" w:line="229"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Gross sales to the industrial market increased almost 19% in the first quarter of 2018 compared to the same period of 2017, resulting from an 11% increase in unit sales and an 8% increase in selling prices. Businesses we acquired contributed 4% to our growth in unit sales. Our organic growth in unit sales of 7% was due to adding over 300 new customers and 46 new locations of existing customers as well as greater customer demand.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Construction:</w:t>
      </w:r>
    </w:p>
    <w:p>
      <w:pPr>
        <w:spacing w:after="0" w:line="229"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Gross sales to the construction market increased almost 16% in the first quarter of 2018 compared to 2017. The increase was due to a 6% increase in unit sales and a 10% increase in our selling prices. Our increase in unit sales was driven by a 10% increase to manufactured housing customers, a 3% increase to residential construction customers, and a 5% increase to commercial construction customers. Our sales to residential construction customers were impacted by inclement weather in certain areas of the 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By comparison (and based upon various industry publications):</w:t>
      </w:r>
    </w:p>
    <w:p>
      <w:pPr>
        <w:spacing w:after="0" w:line="225" w:lineRule="exact"/>
        <w:rPr>
          <w:sz w:val="20"/>
          <w:szCs w:val="20"/>
          <w:color w:val="auto"/>
        </w:rPr>
      </w:pPr>
    </w:p>
    <w:p>
      <w:pPr>
        <w:ind w:left="820" w:right="300" w:hanging="331"/>
        <w:spacing w:after="0" w:line="258"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Production of HUD-code manufactured homes in January and February 2018, the most recent period reported, was up 10.3% compared to the same period of 2017.</w:t>
      </w:r>
    </w:p>
    <w:p>
      <w:pPr>
        <w:spacing w:after="0" w:line="1" w:lineRule="exact"/>
        <w:rPr>
          <w:rFonts w:ascii="Arial" w:cs="Arial" w:eastAsia="Arial" w:hAnsi="Arial"/>
          <w:sz w:val="18"/>
          <w:szCs w:val="18"/>
          <w:color w:val="auto"/>
        </w:rPr>
      </w:pPr>
    </w:p>
    <w:p>
      <w:pPr>
        <w:ind w:left="820" w:right="380" w:hanging="331"/>
        <w:spacing w:after="0" w:line="250"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Non-residential construction activity in January and February increased approximately 8.2% compared to the same period of 2017.</w:t>
      </w:r>
    </w:p>
    <w:p>
      <w:pPr>
        <w:ind w:left="820" w:right="120" w:hanging="331"/>
        <w:spacing w:after="0" w:line="261" w:lineRule="auto"/>
        <w:tabs>
          <w:tab w:leader="none" w:pos="8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National housing starts increased approximately 2.6% in the period from December 2017 through February 2018 (our sales trail housing starts by about a month) compared to the same period of 2017.</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OF GOODS SOLD AND GROSS PROFIT</w:t>
      </w:r>
    </w:p>
    <w:p>
      <w:pPr>
        <w:spacing w:after="0" w:line="229"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 xml:space="preserve">Our gross margin decreased to 13.2% from 14.3% comparing the first quarter of 2018 to the same period of 2017 due to the higher </w:t>
      </w:r>
      <w:r>
        <w:rPr>
          <w:rFonts w:ascii="Arial" w:cs="Arial" w:eastAsia="Arial" w:hAnsi="Arial"/>
          <w:sz w:val="17"/>
          <w:szCs w:val="17"/>
          <w:u w:val="single" w:color="auto"/>
          <w:color w:val="auto"/>
        </w:rPr>
        <w:t>level</w:t>
      </w:r>
      <w:r>
        <w:rPr>
          <w:rFonts w:ascii="Arial" w:cs="Arial" w:eastAsia="Arial" w:hAnsi="Arial"/>
          <w:sz w:val="17"/>
          <w:szCs w:val="17"/>
          <w:color w:val="auto"/>
        </w:rPr>
        <w:t xml:space="preserve"> of lumber prices as our 8.4% increase in gross profit dollars was in line with our 9% increase in unit sales during the same period. Acquired operations contributed $2.3 million of gross profit in the first quarter of 2018. Excluding acquisitions, our gross profits increased by $7.4 million, or 6.5%, over the same period last year as follows:</w:t>
      </w:r>
    </w:p>
    <w:p>
      <w:pPr>
        <w:spacing w:after="0" w:line="171" w:lineRule="exact"/>
        <w:rPr>
          <w:sz w:val="20"/>
          <w:szCs w:val="20"/>
          <w:color w:val="auto"/>
        </w:rPr>
      </w:pPr>
    </w:p>
    <w:p>
      <w:pPr>
        <w:ind w:left="820" w:right="520" w:hanging="331"/>
        <w:spacing w:after="0" w:line="258"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gross profit on sales to the retail market increased by approximately $0.8 million, primarily due to new product growth.</w:t>
      </w:r>
    </w:p>
    <w:p>
      <w:pPr>
        <w:spacing w:after="0" w:line="1" w:lineRule="exact"/>
        <w:rPr>
          <w:rFonts w:ascii="Arial" w:cs="Arial" w:eastAsia="Arial" w:hAnsi="Arial"/>
          <w:sz w:val="18"/>
          <w:szCs w:val="18"/>
          <w:color w:val="auto"/>
        </w:rPr>
      </w:pPr>
    </w:p>
    <w:p>
      <w:pPr>
        <w:ind w:left="820" w:hanging="331"/>
        <w:spacing w:after="0" w:line="250"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gross profit on sales to the industrial market increased by approximately $4.7 million, due to a combination of growth and more effectively passing on lumber cost increases in our selling prices.</w:t>
      </w:r>
    </w:p>
    <w:p>
      <w:pPr>
        <w:ind w:left="820" w:right="480" w:hanging="331"/>
        <w:spacing w:after="0" w:line="261" w:lineRule="auto"/>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gross profit on sales to the construction market increased by over $1.9 million, primarily due to organic growth.</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Selling, general and administrative (“SG&amp;A”) expenses increased by approximately $6.2 million, or 7.2%, in the first quarter of 2018 compared to the same period of 2017, while we reported a 9% increase in unit sales. Accrued bonus expense, which varies with our overall profitability and return on investment, totaled $9.1 million in the first quarter of</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2018 compared to $8.1 million in 2017. Acquired operations contributed approximately $1.5 million to our year over year increase. The remaining increase was primarily due to an increase in base wages and benefits ($2.4 million) as well as sales incentive expenses ($1.0 million).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NET</w:t>
      </w:r>
    </w:p>
    <w:p>
      <w:pPr>
        <w:spacing w:after="0" w:line="229"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Net interest costs were lower in the first quarter of 2018 compared to the same period of 2017 primarily due to approximately $500 thousand in investment income from our captive insurance company. The increase in investment income is due to an overall increase in investments compared to the same period of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Effective tax rates differ from statutory federal income tax rates, primarily due to provisions for state and local income taxes and permanent tax differences. Our effective tax rate was 22.2% in the first quarter of 2018 compared to 33.2% for same period in 2017. This decrease was due primarily to the Tax Act, which reduced the U.S. federal corporate income tax rate from 35 percent to 21 percent effective January 1, 2018. In addition, we recognized a favorable permanent tax difference related to our share-based compensation plans.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ind w:left="560"/>
              <w:spacing w:after="0"/>
              <w:rPr>
                <w:sz w:val="20"/>
                <w:szCs w:val="20"/>
                <w:color w:val="auto"/>
              </w:rPr>
            </w:pPr>
            <w:r>
              <w:rPr>
                <w:rFonts w:ascii="Arial" w:cs="Arial" w:eastAsia="Arial" w:hAnsi="Arial"/>
                <w:sz w:val="14"/>
                <w:szCs w:val="14"/>
                <w:b w:val="1"/>
                <w:bCs w:val="1"/>
                <w:color w:val="auto"/>
              </w:rPr>
              <w:t>Net Sales</w:t>
            </w:r>
          </w:p>
        </w:tc>
        <w:tc>
          <w:tcPr>
            <w:tcW w:w="46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6"/>
          </w:tcPr>
          <w:p>
            <w:pPr>
              <w:ind w:left="20"/>
              <w:spacing w:after="0"/>
              <w:rPr>
                <w:sz w:val="20"/>
                <w:szCs w:val="20"/>
                <w:color w:val="auto"/>
              </w:rPr>
            </w:pPr>
            <w:r>
              <w:rPr>
                <w:rFonts w:ascii="Arial" w:cs="Arial" w:eastAsia="Arial" w:hAnsi="Arial"/>
                <w:sz w:val="14"/>
                <w:szCs w:val="14"/>
                <w:b w:val="1"/>
                <w:bCs w:val="1"/>
                <w:color w:val="auto"/>
              </w:rPr>
              <w:t>Earnings from Operations</w:t>
            </w:r>
          </w:p>
        </w:tc>
        <w:tc>
          <w:tcPr>
            <w:tcW w:w="680" w:type="dxa"/>
            <w:vAlign w:val="bottom"/>
            <w:tcBorders>
              <w:bottom w:val="single" w:sz="8" w:color="auto"/>
            </w:tcBorders>
          </w:tcPr>
          <w:p>
            <w:pPr>
              <w:spacing w:after="0"/>
              <w:rPr>
                <w:sz w:val="15"/>
                <w:szCs w:val="15"/>
                <w:color w:val="auto"/>
              </w:rPr>
            </w:pPr>
          </w:p>
        </w:tc>
      </w:tr>
      <w:tr>
        <w:trPr>
          <w:trHeight w:val="156"/>
        </w:trPr>
        <w:tc>
          <w:tcPr>
            <w:tcW w:w="1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4"/>
          </w:tcPr>
          <w:p>
            <w:pPr>
              <w:ind w:left="180"/>
              <w:spacing w:after="0" w:line="149" w:lineRule="exact"/>
              <w:rPr>
                <w:sz w:val="20"/>
                <w:szCs w:val="20"/>
                <w:color w:val="auto"/>
              </w:rPr>
            </w:pPr>
            <w:r>
              <w:rPr>
                <w:rFonts w:ascii="Arial" w:cs="Arial" w:eastAsia="Arial" w:hAnsi="Arial"/>
                <w:sz w:val="14"/>
                <w:szCs w:val="14"/>
                <w:b w:val="1"/>
                <w:bCs w:val="1"/>
                <w:color w:val="auto"/>
              </w:rPr>
              <w:t>Three Months Ended</w:t>
            </w:r>
          </w:p>
        </w:tc>
        <w:tc>
          <w:tcPr>
            <w:tcW w:w="4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5"/>
          </w:tcPr>
          <w:p>
            <w:pPr>
              <w:ind w:left="40"/>
              <w:spacing w:after="0" w:line="149" w:lineRule="exact"/>
              <w:rPr>
                <w:sz w:val="20"/>
                <w:szCs w:val="20"/>
                <w:color w:val="auto"/>
              </w:rPr>
            </w:pPr>
            <w:r>
              <w:rPr>
                <w:rFonts w:ascii="Arial" w:cs="Arial" w:eastAsia="Arial" w:hAnsi="Arial"/>
                <w:sz w:val="14"/>
                <w:szCs w:val="14"/>
                <w:b w:val="1"/>
                <w:bCs w:val="1"/>
                <w:color w:val="auto"/>
              </w:rPr>
              <w:t>Three Months Ended</w:t>
            </w:r>
          </w:p>
        </w:tc>
        <w:tc>
          <w:tcPr>
            <w:tcW w:w="680" w:type="dxa"/>
            <w:vAlign w:val="bottom"/>
            <w:tcBorders>
              <w:bottom w:val="single" w:sz="8" w:color="auto"/>
            </w:tcBorders>
          </w:tcPr>
          <w:p>
            <w:pPr>
              <w:spacing w:after="0"/>
              <w:rPr>
                <w:sz w:val="13"/>
                <w:szCs w:val="13"/>
                <w:color w:val="auto"/>
              </w:rPr>
            </w:pPr>
          </w:p>
        </w:tc>
      </w:tr>
      <w:tr>
        <w:trPr>
          <w:trHeight w:val="126"/>
        </w:trPr>
        <w:tc>
          <w:tcPr>
            <w:tcW w:w="12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820" w:type="dxa"/>
            <w:vAlign w:val="bottom"/>
            <w:gridSpan w:val="2"/>
          </w:tcPr>
          <w:p>
            <w:pPr>
              <w:jc w:val="center"/>
              <w:spacing w:after="0" w:line="126" w:lineRule="exact"/>
              <w:rPr>
                <w:sz w:val="20"/>
                <w:szCs w:val="20"/>
                <w:color w:val="auto"/>
              </w:rPr>
            </w:pPr>
            <w:r>
              <w:rPr>
                <w:rFonts w:ascii="Arial" w:cs="Arial" w:eastAsia="Arial" w:hAnsi="Arial"/>
                <w:sz w:val="14"/>
                <w:szCs w:val="14"/>
                <w:b w:val="1"/>
                <w:bCs w:val="1"/>
                <w:color w:val="auto"/>
                <w:w w:val="95"/>
              </w:rPr>
              <w:t>March 31,</w:t>
            </w:r>
          </w:p>
        </w:tc>
        <w:tc>
          <w:tcPr>
            <w:tcW w:w="140" w:type="dxa"/>
            <w:vAlign w:val="bottom"/>
          </w:tcPr>
          <w:p>
            <w:pPr>
              <w:spacing w:after="0"/>
              <w:rPr>
                <w:sz w:val="10"/>
                <w:szCs w:val="10"/>
                <w:color w:val="auto"/>
              </w:rPr>
            </w:pPr>
          </w:p>
        </w:tc>
        <w:tc>
          <w:tcPr>
            <w:tcW w:w="960" w:type="dxa"/>
            <w:vAlign w:val="bottom"/>
            <w:gridSpan w:val="2"/>
          </w:tcPr>
          <w:p>
            <w:pPr>
              <w:ind w:left="180"/>
              <w:spacing w:after="0" w:line="126" w:lineRule="exact"/>
              <w:rPr>
                <w:sz w:val="20"/>
                <w:szCs w:val="20"/>
                <w:color w:val="auto"/>
              </w:rPr>
            </w:pPr>
            <w:r>
              <w:rPr>
                <w:rFonts w:ascii="Arial" w:cs="Arial" w:eastAsia="Arial" w:hAnsi="Arial"/>
                <w:sz w:val="14"/>
                <w:szCs w:val="14"/>
                <w:b w:val="1"/>
                <w:bCs w:val="1"/>
                <w:color w:val="auto"/>
              </w:rPr>
              <w:t>April 1,</w:t>
            </w:r>
          </w:p>
        </w:tc>
        <w:tc>
          <w:tcPr>
            <w:tcW w:w="820" w:type="dxa"/>
            <w:vAlign w:val="bottom"/>
          </w:tcPr>
          <w:p>
            <w:pPr>
              <w:jc w:val="right"/>
              <w:ind w:right="294"/>
              <w:spacing w:after="0" w:line="126"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0"/>
                <w:szCs w:val="10"/>
                <w:color w:val="auto"/>
              </w:rPr>
            </w:pPr>
          </w:p>
        </w:tc>
        <w:tc>
          <w:tcPr>
            <w:tcW w:w="460" w:type="dxa"/>
            <w:vAlign w:val="bottom"/>
          </w:tcPr>
          <w:p>
            <w:pPr>
              <w:jc w:val="right"/>
              <w:spacing w:after="0" w:line="126" w:lineRule="exact"/>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gridSpan w:val="2"/>
          </w:tcPr>
          <w:p>
            <w:pPr>
              <w:jc w:val="right"/>
              <w:ind w:right="160"/>
              <w:spacing w:after="0" w:line="126" w:lineRule="exact"/>
              <w:rPr>
                <w:sz w:val="20"/>
                <w:szCs w:val="20"/>
                <w:color w:val="auto"/>
              </w:rPr>
            </w:pPr>
            <w:r>
              <w:rPr>
                <w:rFonts w:ascii="Arial" w:cs="Arial" w:eastAsia="Arial" w:hAnsi="Arial"/>
                <w:sz w:val="14"/>
                <w:szCs w:val="14"/>
                <w:b w:val="1"/>
                <w:bCs w:val="1"/>
                <w:color w:val="auto"/>
                <w:w w:val="92"/>
              </w:rPr>
              <w:t>March 31,</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ind w:left="40"/>
              <w:spacing w:after="0" w:line="126" w:lineRule="exact"/>
              <w:rPr>
                <w:sz w:val="20"/>
                <w:szCs w:val="20"/>
                <w:color w:val="auto"/>
              </w:rPr>
            </w:pPr>
            <w:r>
              <w:rPr>
                <w:rFonts w:ascii="Arial" w:cs="Arial" w:eastAsia="Arial" w:hAnsi="Arial"/>
                <w:sz w:val="14"/>
                <w:szCs w:val="14"/>
                <w:b w:val="1"/>
                <w:bCs w:val="1"/>
                <w:color w:val="auto"/>
              </w:rPr>
              <w:t>April 1,</w:t>
            </w:r>
          </w:p>
        </w:tc>
        <w:tc>
          <w:tcPr>
            <w:tcW w:w="120" w:type="dxa"/>
            <w:vAlign w:val="bottom"/>
          </w:tcPr>
          <w:p>
            <w:pPr>
              <w:spacing w:after="0"/>
              <w:rPr>
                <w:sz w:val="10"/>
                <w:szCs w:val="10"/>
                <w:color w:val="auto"/>
              </w:rPr>
            </w:pPr>
          </w:p>
        </w:tc>
        <w:tc>
          <w:tcPr>
            <w:tcW w:w="680" w:type="dxa"/>
            <w:vAlign w:val="bottom"/>
          </w:tcPr>
          <w:p>
            <w:pPr>
              <w:jc w:val="right"/>
              <w:ind w:right="274"/>
              <w:spacing w:after="0" w:line="126"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0"/>
                <w:szCs w:val="10"/>
                <w:color w:val="auto"/>
              </w:rPr>
            </w:pPr>
          </w:p>
        </w:tc>
        <w:tc>
          <w:tcPr>
            <w:tcW w:w="680" w:type="dxa"/>
            <w:vAlign w:val="bottom"/>
          </w:tcPr>
          <w:p>
            <w:pPr>
              <w:jc w:val="right"/>
              <w:ind w:right="254"/>
              <w:spacing w:after="0" w:line="126" w:lineRule="exact"/>
              <w:rPr>
                <w:sz w:val="20"/>
                <w:szCs w:val="20"/>
                <w:color w:val="auto"/>
              </w:rPr>
            </w:pPr>
            <w:r>
              <w:rPr>
                <w:rFonts w:ascii="Arial" w:cs="Arial" w:eastAsia="Arial" w:hAnsi="Arial"/>
                <w:sz w:val="14"/>
                <w:szCs w:val="14"/>
                <w:b w:val="1"/>
                <w:bCs w:val="1"/>
                <w:color w:val="auto"/>
              </w:rPr>
              <w:t>%</w:t>
            </w:r>
          </w:p>
        </w:tc>
      </w:tr>
      <w:tr>
        <w:trPr>
          <w:trHeight w:val="178"/>
        </w:trPr>
        <w:tc>
          <w:tcPr>
            <w:tcW w:w="12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5"/>
                <w:szCs w:val="15"/>
                <w:color w:val="auto"/>
              </w:rPr>
            </w:pPr>
          </w:p>
        </w:tc>
        <w:tc>
          <w:tcPr>
            <w:tcW w:w="960" w:type="dxa"/>
            <w:vAlign w:val="bottom"/>
            <w:gridSpan w:val="2"/>
          </w:tcPr>
          <w:p>
            <w:pPr>
              <w:jc w:val="right"/>
              <w:ind w:right="179"/>
              <w:spacing w:after="0"/>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5"/>
                <w:szCs w:val="15"/>
                <w:color w:val="auto"/>
              </w:rPr>
            </w:pPr>
          </w:p>
        </w:tc>
        <w:tc>
          <w:tcPr>
            <w:tcW w:w="960" w:type="dxa"/>
            <w:vAlign w:val="bottom"/>
            <w:gridSpan w:val="2"/>
          </w:tcPr>
          <w:p>
            <w:pPr>
              <w:ind w:left="180"/>
              <w:spacing w:after="0"/>
              <w:rPr>
                <w:sz w:val="20"/>
                <w:szCs w:val="20"/>
                <w:color w:val="auto"/>
              </w:rPr>
            </w:pPr>
            <w:r>
              <w:rPr>
                <w:rFonts w:ascii="Arial" w:cs="Arial" w:eastAsia="Arial" w:hAnsi="Arial"/>
                <w:sz w:val="14"/>
                <w:szCs w:val="14"/>
                <w:b w:val="1"/>
                <w:bCs w:val="1"/>
                <w:color w:val="auto"/>
              </w:rPr>
              <w:t>Change</w:t>
            </w:r>
          </w:p>
        </w:tc>
        <w:tc>
          <w:tcPr>
            <w:tcW w:w="74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Change</w:t>
            </w:r>
          </w:p>
        </w:tc>
        <w:tc>
          <w:tcPr>
            <w:tcW w:w="180" w:type="dxa"/>
            <w:vAlign w:val="bottom"/>
            <w:tcBorders>
              <w:right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right"/>
              <w:ind w:right="176"/>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7"/>
              </w:rPr>
              <w:t>Change</w:t>
            </w:r>
          </w:p>
        </w:tc>
        <w:tc>
          <w:tcPr>
            <w:tcW w:w="680" w:type="dxa"/>
            <w:vAlign w:val="bottom"/>
          </w:tcPr>
          <w:p>
            <w:pPr>
              <w:jc w:val="right"/>
              <w:ind w:right="14"/>
              <w:spacing w:after="0"/>
              <w:rPr>
                <w:sz w:val="20"/>
                <w:szCs w:val="20"/>
                <w:color w:val="auto"/>
              </w:rPr>
            </w:pPr>
            <w:r>
              <w:rPr>
                <w:rFonts w:ascii="Arial" w:cs="Arial" w:eastAsia="Arial" w:hAnsi="Arial"/>
                <w:sz w:val="14"/>
                <w:szCs w:val="14"/>
                <w:b w:val="1"/>
                <w:bCs w:val="1"/>
                <w:color w:val="auto"/>
              </w:rPr>
              <w:t>Change</w:t>
            </w:r>
          </w:p>
        </w:tc>
      </w:tr>
      <w:tr>
        <w:trPr>
          <w:trHeight w:val="216"/>
        </w:trPr>
        <w:tc>
          <w:tcPr>
            <w:tcW w:w="12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North</w:t>
            </w:r>
          </w:p>
        </w:tc>
        <w:tc>
          <w:tcPr>
            <w:tcW w:w="3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89"/>
              </w:rPr>
              <w:t>$ 270,186</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$ 227,920</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  42,266</w:t>
            </w:r>
          </w:p>
        </w:tc>
        <w:tc>
          <w:tcPr>
            <w:tcW w:w="14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280" w:type="dxa"/>
            <w:vAlign w:val="bottom"/>
            <w:tcBorders>
              <w:top w:val="single" w:sz="8" w:color="auto"/>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80" w:type="dxa"/>
            <w:vAlign w:val="bottom"/>
            <w:tcBorders>
              <w:top w:val="single" w:sz="8" w:color="CCEEFF"/>
              <w:right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(1,284)</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South</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242,020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188,743</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53,277</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28.2</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19,544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10,689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8,855</w:t>
            </w: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82.8 %</w:t>
            </w:r>
          </w:p>
        </w:tc>
      </w:tr>
      <w:tr>
        <w:trPr>
          <w:trHeight w:val="216"/>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West</w:t>
            </w:r>
          </w:p>
        </w:tc>
        <w:tc>
          <w:tcPr>
            <w:tcW w:w="11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362,468</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319,161</w:t>
            </w: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43,307</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280" w:type="dxa"/>
            <w:vAlign w:val="bottom"/>
            <w:tcBorders>
              <w:right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7"/>
              </w:rPr>
              <w:t>%</w:t>
            </w:r>
          </w:p>
        </w:tc>
        <w:tc>
          <w:tcPr>
            <w:tcW w:w="180" w:type="dxa"/>
            <w:vAlign w:val="bottom"/>
            <w:tcBorders>
              <w:right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21,083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18,305</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w:t>
            </w: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15.2 %</w:t>
            </w:r>
          </w:p>
        </w:tc>
      </w:tr>
      <w:tr>
        <w:trPr>
          <w:trHeight w:val="216"/>
        </w:trPr>
        <w:tc>
          <w:tcPr>
            <w:tcW w:w="1260" w:type="dxa"/>
            <w:vAlign w:val="bottom"/>
          </w:tcPr>
          <w:p>
            <w:pPr>
              <w:spacing w:after="0"/>
              <w:rPr>
                <w:sz w:val="20"/>
                <w:szCs w:val="20"/>
                <w:color w:val="auto"/>
              </w:rPr>
            </w:pPr>
            <w:r>
              <w:rPr>
                <w:rFonts w:ascii="Arial" w:cs="Arial" w:eastAsia="Arial" w:hAnsi="Arial"/>
                <w:sz w:val="18"/>
                <w:szCs w:val="18"/>
                <w:color w:val="auto"/>
              </w:rPr>
              <w:t>All Other</w:t>
            </w:r>
          </w:p>
        </w:tc>
        <w:tc>
          <w:tcPr>
            <w:tcW w:w="1180" w:type="dxa"/>
            <w:vAlign w:val="bottom"/>
            <w:gridSpan w:val="3"/>
          </w:tcPr>
          <w:p>
            <w:pPr>
              <w:jc w:val="right"/>
              <w:ind w:right="80"/>
              <w:spacing w:after="0"/>
              <w:rPr>
                <w:sz w:val="20"/>
                <w:szCs w:val="20"/>
                <w:color w:val="auto"/>
              </w:rPr>
            </w:pPr>
            <w:r>
              <w:rPr>
                <w:rFonts w:ascii="Arial" w:cs="Arial" w:eastAsia="Arial" w:hAnsi="Arial"/>
                <w:sz w:val="18"/>
                <w:szCs w:val="18"/>
                <w:color w:val="auto"/>
              </w:rPr>
              <w:t>119,183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110,306</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8,877</w:t>
            </w: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8.0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8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(3,100)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(3,704)</w:t>
            </w:r>
          </w:p>
        </w:tc>
        <w:tc>
          <w:tcPr>
            <w:tcW w:w="680" w:type="dxa"/>
            <w:vAlign w:val="bottom"/>
          </w:tcPr>
          <w:p>
            <w:pPr>
              <w:jc w:val="right"/>
              <w:spacing w:after="0"/>
              <w:rPr>
                <w:sz w:val="20"/>
                <w:szCs w:val="20"/>
                <w:color w:val="auto"/>
              </w:rPr>
            </w:pPr>
            <w:r>
              <w:rPr>
                <w:rFonts w:ascii="Arial" w:cs="Arial" w:eastAsia="Arial" w:hAnsi="Arial"/>
                <w:sz w:val="18"/>
                <w:szCs w:val="18"/>
                <w:color w:val="auto"/>
                <w:w w:val="90"/>
              </w:rPr>
              <w:t>(613.2)%</w:t>
            </w:r>
          </w:p>
        </w:tc>
      </w:tr>
      <w:tr>
        <w:trPr>
          <w:trHeight w:val="236"/>
        </w:trPr>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Corporate</w:t>
            </w:r>
          </w:p>
        </w:tc>
        <w:tc>
          <w:tcPr>
            <w:tcW w:w="36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right w:val="single" w:sz="8" w:color="CCEEFF"/>
            </w:tcBorders>
            <w:shd w:val="clear" w:color="auto" w:fill="CCEEFF"/>
          </w:tcPr>
          <w:p>
            <w:pPr>
              <w:spacing w:after="0"/>
              <w:rPr>
                <w:sz w:val="20"/>
                <w:szCs w:val="20"/>
                <w:color w:val="auto"/>
              </w:rPr>
            </w:pPr>
          </w:p>
        </w:tc>
        <w:tc>
          <w:tcPr>
            <w:tcW w:w="180" w:type="dxa"/>
            <w:vAlign w:val="bottom"/>
            <w:tcBorders>
              <w:right w:val="single" w:sz="8" w:color="auto"/>
            </w:tcBorders>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(5,755)</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3,751</w:t>
            </w: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65.2 %</w:t>
            </w:r>
          </w:p>
        </w:tc>
      </w:tr>
      <w:tr>
        <w:trPr>
          <w:trHeight w:val="210"/>
        </w:trPr>
        <w:tc>
          <w:tcPr>
            <w:tcW w:w="126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Total</w:t>
            </w:r>
          </w:p>
        </w:tc>
        <w:tc>
          <w:tcPr>
            <w:tcW w:w="360" w:type="dxa"/>
            <w:vAlign w:val="bottom"/>
            <w:tcBorders>
              <w:top w:val="single" w:sz="8" w:color="CCEEFF"/>
            </w:tcBorders>
          </w:tcPr>
          <w:p>
            <w:pPr>
              <w:spacing w:after="0"/>
              <w:rPr>
                <w:sz w:val="18"/>
                <w:szCs w:val="18"/>
                <w:color w:val="auto"/>
              </w:rPr>
            </w:pPr>
          </w:p>
        </w:tc>
        <w:tc>
          <w:tcPr>
            <w:tcW w:w="820" w:type="dxa"/>
            <w:vAlign w:val="bottom"/>
            <w:tcBorders>
              <w:top w:val="single" w:sz="8" w:color="auto"/>
              <w:bottom w:val="single" w:sz="8" w:color="auto"/>
            </w:tcBorders>
            <w:gridSpan w:val="2"/>
          </w:tcPr>
          <w:p>
            <w:pPr>
              <w:jc w:val="right"/>
              <w:ind w:right="80"/>
              <w:spacing w:after="0" w:line="203" w:lineRule="exact"/>
              <w:rPr>
                <w:sz w:val="20"/>
                <w:szCs w:val="20"/>
                <w:color w:val="auto"/>
              </w:rPr>
            </w:pPr>
            <w:r>
              <w:rPr>
                <w:rFonts w:ascii="Arial" w:cs="Arial" w:eastAsia="Arial" w:hAnsi="Arial"/>
                <w:sz w:val="18"/>
                <w:szCs w:val="18"/>
                <w:color w:val="auto"/>
                <w:w w:val="89"/>
              </w:rPr>
              <w:t>$ 993,857</w:t>
            </w: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$ 846,130</w:t>
            </w:r>
          </w:p>
        </w:tc>
        <w:tc>
          <w:tcPr>
            <w:tcW w:w="140" w:type="dxa"/>
            <w:vAlign w:val="bottom"/>
            <w:tcBorders>
              <w:top w:val="single" w:sz="8" w:color="CCEE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$ 147,727</w:t>
            </w:r>
          </w:p>
        </w:tc>
        <w:tc>
          <w:tcPr>
            <w:tcW w:w="140" w:type="dxa"/>
            <w:vAlign w:val="bottom"/>
            <w:tcBorders>
              <w:top w:val="single" w:sz="8" w:color="CCEEFF"/>
            </w:tcBorders>
          </w:tcPr>
          <w:p>
            <w:pPr>
              <w:spacing w:after="0"/>
              <w:rPr>
                <w:sz w:val="18"/>
                <w:szCs w:val="18"/>
                <w:color w:val="auto"/>
              </w:rPr>
            </w:pPr>
          </w:p>
        </w:tc>
        <w:tc>
          <w:tcPr>
            <w:tcW w:w="740" w:type="dxa"/>
            <w:vAlign w:val="bottom"/>
            <w:tcBorders>
              <w:top w:val="single" w:sz="8" w:color="auto"/>
              <w:bottom w:val="single" w:sz="8" w:color="auto"/>
              <w:right w:val="single" w:sz="8" w:color="auto"/>
            </w:tcBorders>
            <w:gridSpan w:val="2"/>
          </w:tcPr>
          <w:p>
            <w:pPr>
              <w:jc w:val="right"/>
              <w:ind w:right="30"/>
              <w:spacing w:after="0" w:line="203" w:lineRule="exact"/>
              <w:rPr>
                <w:sz w:val="20"/>
                <w:szCs w:val="20"/>
                <w:color w:val="auto"/>
              </w:rPr>
            </w:pPr>
            <w:r>
              <w:rPr>
                <w:rFonts w:ascii="Arial" w:cs="Arial" w:eastAsia="Arial" w:hAnsi="Arial"/>
                <w:sz w:val="18"/>
                <w:szCs w:val="18"/>
                <w:color w:val="auto"/>
              </w:rPr>
              <w:t>17.5 %</w:t>
            </w:r>
          </w:p>
        </w:tc>
        <w:tc>
          <w:tcPr>
            <w:tcW w:w="180" w:type="dxa"/>
            <w:vAlign w:val="bottom"/>
            <w:tcBorders>
              <w:top w:val="single" w:sz="8" w:color="CCEEFF"/>
              <w:right w:val="single" w:sz="8" w:color="auto"/>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44,217</w:t>
            </w:r>
          </w:p>
        </w:tc>
        <w:tc>
          <w:tcPr>
            <w:tcW w:w="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line="203" w:lineRule="exact"/>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33,821</w:t>
            </w:r>
          </w:p>
        </w:tc>
        <w:tc>
          <w:tcPr>
            <w:tcW w:w="16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10,396</w:t>
            </w:r>
          </w:p>
        </w:tc>
        <w:tc>
          <w:tcPr>
            <w:tcW w:w="160" w:type="dxa"/>
            <w:vAlign w:val="bottom"/>
            <w:tcBorders>
              <w:top w:val="single" w:sz="8" w:color="CCEEFF"/>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30.7 %</w:t>
            </w:r>
          </w:p>
        </w:tc>
      </w:tr>
      <w:tr>
        <w:trPr>
          <w:trHeight w:val="108"/>
        </w:trPr>
        <w:tc>
          <w:tcPr>
            <w:tcW w:w="126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r>
    </w:tbl>
    <w:p>
      <w:pPr>
        <w:spacing w:after="0" w:line="89" w:lineRule="exact"/>
        <w:rPr>
          <w:sz w:val="20"/>
          <w:szCs w:val="20"/>
          <w:color w:val="auto"/>
        </w:rPr>
      </w:pPr>
    </w:p>
    <w:p>
      <w:pPr>
        <w:ind w:left="320" w:hanging="317"/>
        <w:spacing w:after="0"/>
        <w:tabs>
          <w:tab w:leader="none" w:pos="320" w:val="left"/>
        </w:tabs>
        <w:numPr>
          <w:ilvl w:val="0"/>
          <w:numId w:val="19"/>
        </w:numPr>
        <w:rPr>
          <w:rFonts w:ascii="Arial" w:cs="Arial" w:eastAsia="Arial" w:hAnsi="Arial"/>
          <w:sz w:val="14"/>
          <w:szCs w:val="14"/>
          <w:color w:val="auto"/>
        </w:rPr>
      </w:pPr>
      <w:r>
        <w:rPr>
          <w:rFonts w:ascii="Arial" w:cs="Arial" w:eastAsia="Arial" w:hAnsi="Arial"/>
          <w:sz w:val="14"/>
          <w:szCs w:val="14"/>
          <w:color w:val="auto"/>
        </w:rPr>
        <w:t>Corporate primarily represents over (under) allocated administrative costs and accrued bonus expense.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North</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4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gridSpan w:val="3"/>
          </w:tcPr>
          <w:p>
            <w:pPr>
              <w:jc w:val="center"/>
              <w:ind w:right="400"/>
              <w:spacing w:after="0"/>
              <w:rPr>
                <w:sz w:val="20"/>
                <w:szCs w:val="20"/>
                <w:color w:val="auto"/>
              </w:rPr>
            </w:pPr>
            <w:r>
              <w:rPr>
                <w:rFonts w:ascii="Arial" w:cs="Arial" w:eastAsia="Arial" w:hAnsi="Arial"/>
                <w:sz w:val="14"/>
                <w:szCs w:val="14"/>
                <w:b w:val="1"/>
                <w:bCs w:val="1"/>
                <w:color w:val="auto"/>
                <w:w w:val="88"/>
              </w:rPr>
              <w:t>Net Sales</w:t>
            </w:r>
          </w:p>
        </w:tc>
        <w:tc>
          <w:tcPr>
            <w:tcW w:w="5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48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560" w:type="dxa"/>
            <w:vAlign w:val="bottom"/>
            <w:tcBorders>
              <w:bottom w:val="single" w:sz="8" w:color="auto"/>
            </w:tcBorders>
            <w:gridSpan w:val="7"/>
          </w:tcPr>
          <w:p>
            <w:pPr>
              <w:jc w:val="center"/>
              <w:ind w:left="17"/>
              <w:spacing w:after="0" w:line="149" w:lineRule="exact"/>
              <w:rPr>
                <w:sz w:val="20"/>
                <w:szCs w:val="20"/>
                <w:color w:val="auto"/>
              </w:rPr>
            </w:pPr>
            <w:r>
              <w:rPr>
                <w:rFonts w:ascii="Arial" w:cs="Arial" w:eastAsia="Arial" w:hAnsi="Arial"/>
                <w:sz w:val="14"/>
                <w:szCs w:val="14"/>
                <w:b w:val="1"/>
                <w:bCs w:val="1"/>
                <w:color w:val="auto"/>
                <w:w w:val="95"/>
              </w:rPr>
              <w:t>North Segment by Market</w:t>
            </w: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6"/>
          </w:tcPr>
          <w:p>
            <w:pPr>
              <w:jc w:val="center"/>
              <w:ind w:left="577"/>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56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622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ind w:left="20"/>
              <w:spacing w:after="0" w:line="126" w:lineRule="exact"/>
              <w:rPr>
                <w:sz w:val="20"/>
                <w:szCs w:val="20"/>
                <w:color w:val="auto"/>
              </w:rPr>
            </w:pPr>
            <w:r>
              <w:rPr>
                <w:rFonts w:ascii="Arial" w:cs="Arial" w:eastAsia="Arial" w:hAnsi="Arial"/>
                <w:sz w:val="14"/>
                <w:szCs w:val="14"/>
                <w:b w:val="1"/>
                <w:bCs w:val="1"/>
                <w:color w:val="auto"/>
              </w:rPr>
              <w:t>March 31,</w:t>
            </w:r>
          </w:p>
        </w:tc>
        <w:tc>
          <w:tcPr>
            <w:tcW w:w="100" w:type="dxa"/>
            <w:vAlign w:val="bottom"/>
          </w:tcPr>
          <w:p>
            <w:pPr>
              <w:spacing w:after="0"/>
              <w:rPr>
                <w:sz w:val="10"/>
                <w:szCs w:val="10"/>
                <w:color w:val="auto"/>
              </w:rPr>
            </w:pPr>
          </w:p>
        </w:tc>
        <w:tc>
          <w:tcPr>
            <w:tcW w:w="960" w:type="dxa"/>
            <w:vAlign w:val="bottom"/>
            <w:gridSpan w:val="3"/>
          </w:tcPr>
          <w:p>
            <w:pPr>
              <w:jc w:val="center"/>
              <w:ind w:right="340"/>
              <w:spacing w:after="0" w:line="126" w:lineRule="exact"/>
              <w:rPr>
                <w:sz w:val="20"/>
                <w:szCs w:val="20"/>
                <w:color w:val="auto"/>
              </w:rPr>
            </w:pPr>
            <w:r>
              <w:rPr>
                <w:rFonts w:ascii="Arial" w:cs="Arial" w:eastAsia="Arial" w:hAnsi="Arial"/>
                <w:sz w:val="14"/>
                <w:szCs w:val="14"/>
                <w:b w:val="1"/>
                <w:bCs w:val="1"/>
                <w:color w:val="auto"/>
                <w:w w:val="96"/>
              </w:rPr>
              <w:t>April 1,</w:t>
            </w: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Market Classification</w:t>
            </w:r>
          </w:p>
        </w:tc>
        <w:tc>
          <w:tcPr>
            <w:tcW w:w="48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6"/>
              </w:rPr>
              <w:t>2017</w:t>
            </w:r>
          </w:p>
        </w:tc>
        <w:tc>
          <w:tcPr>
            <w:tcW w:w="18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203"/>
        </w:trPr>
        <w:tc>
          <w:tcPr>
            <w:tcW w:w="62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95,809</w:t>
            </w: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87,445</w:t>
            </w: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9.6</w:t>
            </w:r>
          </w:p>
        </w:tc>
        <w:tc>
          <w:tcPr>
            <w:tcW w:w="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622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51,620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32,490</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62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1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127,448</w:t>
            </w:r>
          </w:p>
        </w:tc>
        <w:tc>
          <w:tcPr>
            <w:tcW w:w="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112,191</w:t>
            </w:r>
          </w:p>
        </w:tc>
        <w:tc>
          <w:tcPr>
            <w:tcW w:w="18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6220" w:type="dxa"/>
            <w:vAlign w:val="bottom"/>
            <w:gridSpan w:val="2"/>
          </w:tcPr>
          <w:p>
            <w:pPr>
              <w:spacing w:after="0" w:line="203" w:lineRule="exact"/>
              <w:rPr>
                <w:sz w:val="20"/>
                <w:szCs w:val="20"/>
                <w:color w:val="auto"/>
              </w:rPr>
            </w:pPr>
            <w:r>
              <w:rPr>
                <w:rFonts w:ascii="Arial" w:cs="Arial" w:eastAsia="Arial" w:hAnsi="Arial"/>
                <w:sz w:val="18"/>
                <w:szCs w:val="18"/>
                <w:color w:val="auto"/>
              </w:rPr>
              <w:t>Total Gross Sales</w:t>
            </w:r>
          </w:p>
        </w:tc>
        <w:tc>
          <w:tcPr>
            <w:tcW w:w="10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274,877</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w w:val="98"/>
              </w:rPr>
              <w:t>232,126</w:t>
            </w: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Arial" w:cs="Arial" w:eastAsia="Arial" w:hAnsi="Arial"/>
                <w:sz w:val="18"/>
                <w:szCs w:val="18"/>
                <w:color w:val="auto"/>
              </w:rPr>
              <w:t>18.4</w:t>
            </w: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(4,691)</w:t>
            </w:r>
          </w:p>
        </w:tc>
        <w:tc>
          <w:tcPr>
            <w:tcW w:w="1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(4,206)</w:t>
            </w:r>
          </w:p>
        </w:tc>
        <w:tc>
          <w:tcPr>
            <w:tcW w:w="6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622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Net Sales</w:t>
            </w: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270,186</w:t>
            </w:r>
          </w:p>
        </w:tc>
        <w:tc>
          <w:tcPr>
            <w:tcW w:w="18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8"/>
              </w:rPr>
              <w:t>227,920</w:t>
            </w: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18.5</w:t>
            </w:r>
          </w:p>
        </w:tc>
        <w:tc>
          <w:tcPr>
            <w:tcW w:w="1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00"/>
        <w:spacing w:after="0"/>
        <w:rPr>
          <w:sz w:val="20"/>
          <w:szCs w:val="20"/>
          <w:color w:val="auto"/>
        </w:rPr>
      </w:pPr>
      <w:r>
        <w:rPr>
          <w:rFonts w:ascii="Arial" w:cs="Arial" w:eastAsia="Arial" w:hAnsi="Arial"/>
          <w:sz w:val="13"/>
          <w:szCs w:val="13"/>
          <w:color w:val="auto"/>
        </w:rPr>
        <w:t>Note: During 2018, certain customers were reclassified to a different market. Prior year information has been restated to reflect these changes.</w:t>
      </w:r>
    </w:p>
    <w:p>
      <w:pPr>
        <w:spacing w:after="0" w:line="220"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Net sales attributable to the North reportable segment increased in the first quarter of 2018 compared to 2017 as a result of increased sales to each of our markets primarily due to the same factors previously discussed. Acquired operations contributed $10.8 million to our industrial sales increase.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Earnings from operations for the North reportable segment decreased in the first quarter of 2018 by $1.3 million, or 12.9%, due to a decrease in gross profit of $0.2 million and a $1.1 million increase in SG&amp;A expenses compared to last</w:t>
      </w:r>
    </w:p>
    <w:p>
      <w:pPr>
        <w:ind w:right="400"/>
        <w:spacing w:after="0" w:line="255" w:lineRule="auto"/>
        <w:rPr>
          <w:sz w:val="20"/>
          <w:szCs w:val="20"/>
          <w:color w:val="auto"/>
        </w:rPr>
      </w:pPr>
      <w:r>
        <w:rPr>
          <w:rFonts w:ascii="Arial" w:cs="Arial" w:eastAsia="Arial" w:hAnsi="Arial"/>
          <w:sz w:val="18"/>
          <w:szCs w:val="18"/>
          <w:color w:val="auto"/>
        </w:rPr>
        <w:t>year. Acquired operations contributed $0.3 million to our operating profits in the first quarter. Many of our plants in the North segment were impacted by inclement weather in the first quarter, which had a corresponding adverse impact on earnings.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South</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Net Sales</w:t>
            </w: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2520" w:type="dxa"/>
            <w:vAlign w:val="bottom"/>
          </w:tcPr>
          <w:p>
            <w:pPr>
              <w:spacing w:after="0"/>
              <w:rPr>
                <w:sz w:val="13"/>
                <w:szCs w:val="13"/>
                <w:color w:val="auto"/>
              </w:rPr>
            </w:pPr>
          </w:p>
        </w:tc>
        <w:tc>
          <w:tcPr>
            <w:tcW w:w="2520" w:type="dxa"/>
            <w:vAlign w:val="bottom"/>
            <w:tcBorders>
              <w:bottom w:val="single" w:sz="8" w:color="auto"/>
            </w:tcBorders>
            <w:gridSpan w:val="7"/>
          </w:tcPr>
          <w:p>
            <w:pPr>
              <w:jc w:val="center"/>
              <w:ind w:left="100"/>
              <w:spacing w:after="0" w:line="149" w:lineRule="exact"/>
              <w:rPr>
                <w:sz w:val="20"/>
                <w:szCs w:val="20"/>
                <w:color w:val="auto"/>
              </w:rPr>
            </w:pPr>
            <w:r>
              <w:rPr>
                <w:rFonts w:ascii="Arial" w:cs="Arial" w:eastAsia="Arial" w:hAnsi="Arial"/>
                <w:sz w:val="14"/>
                <w:szCs w:val="14"/>
                <w:b w:val="1"/>
                <w:bCs w:val="1"/>
                <w:color w:val="auto"/>
                <w:w w:val="94"/>
              </w:rPr>
              <w:t>South Segment by Market</w:t>
            </w: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520" w:type="dxa"/>
            <w:vAlign w:val="bottom"/>
          </w:tcPr>
          <w:p>
            <w:pPr>
              <w:spacing w:after="0"/>
              <w:rPr>
                <w:sz w:val="13"/>
                <w:szCs w:val="13"/>
                <w:color w:val="auto"/>
              </w:rPr>
            </w:pPr>
          </w:p>
        </w:tc>
        <w:tc>
          <w:tcPr>
            <w:tcW w:w="2520" w:type="dxa"/>
            <w:vAlign w:val="bottom"/>
            <w:tcBorders>
              <w:bottom w:val="single" w:sz="8" w:color="auto"/>
            </w:tcBorders>
            <w:gridSpan w:val="7"/>
          </w:tcPr>
          <w:p>
            <w:pPr>
              <w:jc w:val="center"/>
              <w:ind w:left="100"/>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3840" w:type="dxa"/>
            <w:vAlign w:val="bottom"/>
            <w:gridSpan w:val="2"/>
            <w:vMerge w:val="continue"/>
          </w:tcPr>
          <w:p>
            <w:pPr>
              <w:spacing w:after="0"/>
              <w:rPr>
                <w:sz w:val="10"/>
                <w:szCs w:val="10"/>
                <w:color w:val="auto"/>
              </w:rPr>
            </w:pPr>
          </w:p>
        </w:tc>
        <w:tc>
          <w:tcPr>
            <w:tcW w:w="2520" w:type="dxa"/>
            <w:vAlign w:val="bottom"/>
          </w:tcPr>
          <w:p>
            <w:pPr>
              <w:spacing w:after="0"/>
              <w:rPr>
                <w:sz w:val="10"/>
                <w:szCs w:val="10"/>
                <w:color w:val="auto"/>
              </w:rPr>
            </w:pPr>
          </w:p>
        </w:tc>
        <w:tc>
          <w:tcPr>
            <w:tcW w:w="940" w:type="dxa"/>
            <w:vAlign w:val="bottom"/>
            <w:gridSpan w:val="2"/>
          </w:tcPr>
          <w:p>
            <w:pPr>
              <w:ind w:left="60"/>
              <w:spacing w:after="0" w:line="126" w:lineRule="exact"/>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Pr>
          <w:p>
            <w:pPr>
              <w:jc w:val="right"/>
              <w:ind w:right="76"/>
              <w:spacing w:after="0" w:line="126" w:lineRule="exact"/>
              <w:rPr>
                <w:sz w:val="20"/>
                <w:szCs w:val="20"/>
                <w:color w:val="auto"/>
              </w:rPr>
            </w:pPr>
            <w:r>
              <w:rPr>
                <w:rFonts w:ascii="Arial" w:cs="Arial" w:eastAsia="Arial" w:hAnsi="Arial"/>
                <w:sz w:val="14"/>
                <w:szCs w:val="14"/>
                <w:b w:val="1"/>
                <w:bCs w:val="1"/>
                <w:color w:val="auto"/>
              </w:rPr>
              <w:t>April 1,</w:t>
            </w:r>
          </w:p>
        </w:tc>
        <w:tc>
          <w:tcPr>
            <w:tcW w:w="16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Market Classification</w:t>
            </w:r>
          </w:p>
        </w:tc>
        <w:tc>
          <w:tcPr>
            <w:tcW w:w="250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7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6"/>
                <w:szCs w:val="16"/>
                <w:color w:val="auto"/>
              </w:rPr>
            </w:pPr>
          </w:p>
        </w:tc>
        <w:tc>
          <w:tcPr>
            <w:tcW w:w="8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03"/>
        </w:trPr>
        <w:tc>
          <w:tcPr>
            <w:tcW w:w="38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25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4"/>
              </w:rPr>
              <w:t>$ 115,197</w:t>
            </w: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84,260</w:t>
            </w: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36.7</w:t>
            </w:r>
          </w:p>
        </w:tc>
        <w:tc>
          <w:tcPr>
            <w:tcW w:w="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6"/>
        </w:trPr>
        <w:tc>
          <w:tcPr>
            <w:tcW w:w="384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3300" w:type="dxa"/>
            <w:vAlign w:val="bottom"/>
            <w:gridSpan w:val="2"/>
          </w:tcPr>
          <w:p>
            <w:pPr>
              <w:jc w:val="right"/>
              <w:spacing w:after="0"/>
              <w:rPr>
                <w:sz w:val="20"/>
                <w:szCs w:val="20"/>
                <w:color w:val="auto"/>
              </w:rPr>
            </w:pPr>
            <w:r>
              <w:rPr>
                <w:rFonts w:ascii="Arial" w:cs="Arial" w:eastAsia="Arial" w:hAnsi="Arial"/>
                <w:sz w:val="18"/>
                <w:szCs w:val="18"/>
                <w:color w:val="auto"/>
              </w:rPr>
              <w:t>81,009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62,710</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29.2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51,070</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45,856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03"/>
        </w:trPr>
        <w:tc>
          <w:tcPr>
            <w:tcW w:w="384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Gross Sales</w:t>
            </w:r>
          </w:p>
        </w:tc>
        <w:tc>
          <w:tcPr>
            <w:tcW w:w="252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247,276</w:t>
            </w:r>
          </w:p>
        </w:tc>
        <w:tc>
          <w:tcPr>
            <w:tcW w:w="1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192,826</w:t>
            </w:r>
          </w:p>
        </w:tc>
        <w:tc>
          <w:tcPr>
            <w:tcW w:w="80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28.2</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6"/>
        </w:trPr>
        <w:tc>
          <w:tcPr>
            <w:tcW w:w="3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(5,256)</w:t>
            </w: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10"/>
        </w:trPr>
        <w:tc>
          <w:tcPr>
            <w:tcW w:w="384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Net Sales</w:t>
            </w:r>
          </w:p>
        </w:tc>
        <w:tc>
          <w:tcPr>
            <w:tcW w:w="2520" w:type="dxa"/>
            <w:vAlign w:val="bottom"/>
            <w:tcBorders>
              <w:top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4"/>
              </w:rPr>
              <w:t>$ 242,020</w:t>
            </w:r>
          </w:p>
        </w:tc>
        <w:tc>
          <w:tcPr>
            <w:tcW w:w="16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2"/>
              </w:rPr>
              <w:t>188,743</w:t>
            </w:r>
          </w:p>
        </w:tc>
        <w:tc>
          <w:tcPr>
            <w:tcW w:w="800" w:type="dxa"/>
            <w:vAlign w:val="bottom"/>
            <w:tcBorders>
              <w:top w:val="single" w:sz="8" w:color="CCEEFF"/>
            </w:tcBorders>
            <w:gridSpan w:val="2"/>
          </w:tcPr>
          <w:p>
            <w:pPr>
              <w:jc w:val="right"/>
              <w:spacing w:after="0" w:line="203" w:lineRule="exact"/>
              <w:rPr>
                <w:sz w:val="20"/>
                <w:szCs w:val="20"/>
                <w:color w:val="auto"/>
              </w:rPr>
            </w:pPr>
            <w:r>
              <w:rPr>
                <w:rFonts w:ascii="Arial" w:cs="Arial" w:eastAsia="Arial" w:hAnsi="Arial"/>
                <w:sz w:val="18"/>
                <w:szCs w:val="18"/>
                <w:color w:val="auto"/>
              </w:rPr>
              <w:t>28.2</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00"/>
        <w:spacing w:after="0"/>
        <w:rPr>
          <w:sz w:val="20"/>
          <w:szCs w:val="20"/>
          <w:color w:val="auto"/>
        </w:rPr>
      </w:pPr>
      <w:r>
        <w:rPr>
          <w:rFonts w:ascii="Arial" w:cs="Arial" w:eastAsia="Arial" w:hAnsi="Arial"/>
          <w:sz w:val="13"/>
          <w:szCs w:val="13"/>
          <w:color w:val="auto"/>
        </w:rPr>
        <w:t>Note: During 2018, certain customers were reclassified to a different market. Prior year information has been restated to reflect these changes.</w:t>
      </w:r>
    </w:p>
    <w:p>
      <w:pPr>
        <w:spacing w:after="0" w:line="220"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Net sales attributable to the South reportable segment increased in the first quarter of 2018 compared to 2017 due to increased sales to all markets primarily due to the same factors previously discussed. Acquired operations contributed $26.5 million and $1.4 million to our growth in sales to the retail and industrial market, respectively.</w:t>
      </w:r>
    </w:p>
    <w:p>
      <w:pPr>
        <w:spacing w:after="0" w:line="16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Earnings from operations for the South reportable segment increased in the first quarter of 2018 by $8.9 million, or 82.8%, compared to the same period in 2017. Excluding the impact of our Medley plant sale, earnings from operations increased during the first quarter of 2018 by $1.9 million due to an increase in gross profit dollars of $3.9 million, offset by an increase in SG&amp;A expenses of $2.0 million compared to the same period of 2017. Acquired operations contributed $1.4 million to gross profits, $1.0 million to SG&amp;A, and $0.4 million to operating profits in the first quarter. The increase in gross profit was driven by the retail and industrial markets due to the same factors previously discussed.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West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8"/>
              </w:rPr>
              <w:t>Net Sales</w:t>
            </w:r>
          </w:p>
        </w:tc>
        <w:tc>
          <w:tcPr>
            <w:tcW w:w="6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2560" w:type="dxa"/>
            <w:vAlign w:val="bottom"/>
            <w:tcBorders>
              <w:bottom w:val="single" w:sz="8" w:color="auto"/>
            </w:tcBorders>
            <w:gridSpan w:val="7"/>
          </w:tcPr>
          <w:p>
            <w:pPr>
              <w:jc w:val="center"/>
              <w:ind w:left="200"/>
              <w:spacing w:after="0" w:line="149" w:lineRule="exact"/>
              <w:rPr>
                <w:sz w:val="20"/>
                <w:szCs w:val="20"/>
                <w:color w:val="auto"/>
              </w:rPr>
            </w:pPr>
            <w:r>
              <w:rPr>
                <w:rFonts w:ascii="Arial" w:cs="Arial" w:eastAsia="Arial" w:hAnsi="Arial"/>
                <w:sz w:val="14"/>
                <w:szCs w:val="14"/>
                <w:b w:val="1"/>
                <w:bCs w:val="1"/>
                <w:color w:val="auto"/>
                <w:w w:val="94"/>
              </w:rPr>
              <w:t>West Segment by Market</w:t>
            </w:r>
          </w:p>
        </w:tc>
        <w:tc>
          <w:tcPr>
            <w:tcW w:w="2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380" w:type="dxa"/>
            <w:vAlign w:val="bottom"/>
          </w:tcPr>
          <w:p>
            <w:pPr>
              <w:spacing w:after="0"/>
              <w:rPr>
                <w:sz w:val="13"/>
                <w:szCs w:val="13"/>
                <w:color w:val="auto"/>
              </w:rPr>
            </w:pPr>
          </w:p>
        </w:tc>
        <w:tc>
          <w:tcPr>
            <w:tcW w:w="2560" w:type="dxa"/>
            <w:vAlign w:val="bottom"/>
            <w:tcBorders>
              <w:bottom w:val="single" w:sz="8" w:color="auto"/>
            </w:tcBorders>
            <w:gridSpan w:val="7"/>
          </w:tcPr>
          <w:p>
            <w:pPr>
              <w:jc w:val="center"/>
              <w:ind w:left="200"/>
              <w:spacing w:after="0" w:line="149" w:lineRule="exact"/>
              <w:rPr>
                <w:sz w:val="20"/>
                <w:szCs w:val="20"/>
                <w:color w:val="auto"/>
              </w:rPr>
            </w:pPr>
            <w:r>
              <w:rPr>
                <w:rFonts w:ascii="Arial" w:cs="Arial" w:eastAsia="Arial" w:hAnsi="Arial"/>
                <w:sz w:val="14"/>
                <w:szCs w:val="14"/>
                <w:b w:val="1"/>
                <w:bCs w:val="1"/>
                <w:color w:val="auto"/>
                <w:w w:val="95"/>
              </w:rPr>
              <w:t>Three Months Ended</w:t>
            </w:r>
          </w:p>
        </w:tc>
        <w:tc>
          <w:tcPr>
            <w:tcW w:w="28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3720" w:type="dxa"/>
            <w:vAlign w:val="bottom"/>
            <w:gridSpan w:val="2"/>
            <w:vMerge w:val="continue"/>
          </w:tcPr>
          <w:p>
            <w:pPr>
              <w:spacing w:after="0"/>
              <w:rPr>
                <w:sz w:val="10"/>
                <w:szCs w:val="10"/>
                <w:color w:val="auto"/>
              </w:rPr>
            </w:pPr>
          </w:p>
        </w:tc>
        <w:tc>
          <w:tcPr>
            <w:tcW w:w="2380" w:type="dxa"/>
            <w:vAlign w:val="bottom"/>
          </w:tcPr>
          <w:p>
            <w:pPr>
              <w:spacing w:after="0"/>
              <w:rPr>
                <w:sz w:val="10"/>
                <w:szCs w:val="10"/>
                <w:color w:val="auto"/>
              </w:rPr>
            </w:pPr>
          </w:p>
        </w:tc>
        <w:tc>
          <w:tcPr>
            <w:tcW w:w="960" w:type="dxa"/>
            <w:vAlign w:val="bottom"/>
            <w:gridSpan w:val="2"/>
          </w:tcPr>
          <w:p>
            <w:pPr>
              <w:ind w:left="80"/>
              <w:spacing w:after="0" w:line="126" w:lineRule="exact"/>
              <w:rPr>
                <w:sz w:val="20"/>
                <w:szCs w:val="20"/>
                <w:color w:val="auto"/>
              </w:rPr>
            </w:pPr>
            <w:r>
              <w:rPr>
                <w:rFonts w:ascii="Arial" w:cs="Arial" w:eastAsia="Arial" w:hAnsi="Arial"/>
                <w:sz w:val="14"/>
                <w:szCs w:val="14"/>
                <w:b w:val="1"/>
                <w:bCs w:val="1"/>
                <w:color w:val="auto"/>
              </w:rPr>
              <w:t>March 31,</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340"/>
              <w:spacing w:after="0" w:line="126" w:lineRule="exact"/>
              <w:rPr>
                <w:sz w:val="20"/>
                <w:szCs w:val="20"/>
                <w:color w:val="auto"/>
              </w:rPr>
            </w:pPr>
            <w:r>
              <w:rPr>
                <w:rFonts w:ascii="Arial" w:cs="Arial" w:eastAsia="Arial" w:hAnsi="Arial"/>
                <w:sz w:val="14"/>
                <w:szCs w:val="14"/>
                <w:b w:val="1"/>
                <w:bCs w:val="1"/>
                <w:color w:val="auto"/>
              </w:rPr>
              <w:t>April 1,</w:t>
            </w:r>
          </w:p>
        </w:tc>
        <w:tc>
          <w:tcPr>
            <w:tcW w:w="6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Market Classification</w:t>
            </w:r>
          </w:p>
        </w:tc>
        <w:tc>
          <w:tcPr>
            <w:tcW w:w="238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78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6"/>
                <w:szCs w:val="16"/>
                <w:color w:val="auto"/>
              </w:rPr>
            </w:pPr>
          </w:p>
        </w:tc>
        <w:tc>
          <w:tcPr>
            <w:tcW w:w="9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7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238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$ 111,024</w:t>
            </w: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99,011</w:t>
            </w:r>
          </w:p>
        </w:tc>
        <w:tc>
          <w:tcPr>
            <w:tcW w:w="20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12.1</w:t>
            </w:r>
          </w:p>
        </w:tc>
        <w:tc>
          <w:tcPr>
            <w:tcW w:w="2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2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3160" w:type="dxa"/>
            <w:vAlign w:val="bottom"/>
            <w:gridSpan w:val="2"/>
          </w:tcPr>
          <w:p>
            <w:pPr>
              <w:jc w:val="right"/>
              <w:spacing w:after="0"/>
              <w:rPr>
                <w:sz w:val="20"/>
                <w:szCs w:val="20"/>
                <w:color w:val="auto"/>
              </w:rPr>
            </w:pPr>
            <w:r>
              <w:rPr>
                <w:rFonts w:ascii="Arial" w:cs="Arial" w:eastAsia="Arial" w:hAnsi="Arial"/>
                <w:sz w:val="18"/>
                <w:szCs w:val="18"/>
                <w:color w:val="auto"/>
              </w:rPr>
              <w:t>127,589</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116,269</w:t>
            </w: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9.7</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3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129,171</w:t>
            </w:r>
          </w:p>
        </w:tc>
        <w:tc>
          <w:tcPr>
            <w:tcW w:w="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107,745</w:t>
            </w:r>
          </w:p>
        </w:tc>
        <w:tc>
          <w:tcPr>
            <w:tcW w:w="2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72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Gross Sales</w:t>
            </w:r>
          </w:p>
        </w:tc>
        <w:tc>
          <w:tcPr>
            <w:tcW w:w="2380" w:type="dxa"/>
            <w:vAlign w:val="bottom"/>
            <w:tcBorders>
              <w:top w:val="single" w:sz="8" w:color="CCEEFF"/>
            </w:tcBorders>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367,784</w:t>
            </w:r>
          </w:p>
        </w:tc>
        <w:tc>
          <w:tcPr>
            <w:tcW w:w="1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323,025</w:t>
            </w:r>
          </w:p>
        </w:tc>
        <w:tc>
          <w:tcPr>
            <w:tcW w:w="200" w:type="dxa"/>
            <w:vAlign w:val="bottom"/>
            <w:tcBorders>
              <w:top w:val="single" w:sz="8" w:color="CCEEFF"/>
            </w:tcBorders>
          </w:tcPr>
          <w:p>
            <w:pPr>
              <w:spacing w:after="0"/>
              <w:rPr>
                <w:sz w:val="17"/>
                <w:szCs w:val="17"/>
                <w:color w:val="auto"/>
              </w:rPr>
            </w:pPr>
          </w:p>
        </w:tc>
        <w:tc>
          <w:tcPr>
            <w:tcW w:w="62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13.9</w:t>
            </w:r>
          </w:p>
        </w:tc>
        <w:tc>
          <w:tcPr>
            <w:tcW w:w="2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Allowances</w:t>
            </w:r>
          </w:p>
        </w:tc>
        <w:tc>
          <w:tcPr>
            <w:tcW w:w="33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(5,316)</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(3,864)</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72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Net Sales</w:t>
            </w:r>
          </w:p>
        </w:tc>
        <w:tc>
          <w:tcPr>
            <w:tcW w:w="2380" w:type="dxa"/>
            <w:vAlign w:val="bottom"/>
            <w:tcBorders>
              <w:top w:val="single" w:sz="8" w:color="CCEEFF"/>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7"/>
              </w:rPr>
              <w:t>$ 362,468</w:t>
            </w: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89"/>
              </w:rPr>
              <w:t>319,161</w:t>
            </w:r>
          </w:p>
        </w:tc>
        <w:tc>
          <w:tcPr>
            <w:tcW w:w="200" w:type="dxa"/>
            <w:vAlign w:val="bottom"/>
            <w:tcBorders>
              <w:top w:val="single" w:sz="8" w:color="CCEEFF"/>
            </w:tcBorders>
          </w:tcPr>
          <w:p>
            <w:pPr>
              <w:spacing w:after="0"/>
              <w:rPr>
                <w:sz w:val="18"/>
                <w:szCs w:val="18"/>
                <w:color w:val="auto"/>
              </w:rPr>
            </w:pPr>
          </w:p>
        </w:tc>
        <w:tc>
          <w:tcPr>
            <w:tcW w:w="62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13.6</w:t>
            </w:r>
          </w:p>
        </w:tc>
        <w:tc>
          <w:tcPr>
            <w:tcW w:w="28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00"/>
        <w:spacing w:after="0"/>
        <w:rPr>
          <w:sz w:val="20"/>
          <w:szCs w:val="20"/>
          <w:color w:val="auto"/>
        </w:rPr>
      </w:pPr>
      <w:r>
        <w:rPr>
          <w:rFonts w:ascii="Arial" w:cs="Arial" w:eastAsia="Arial" w:hAnsi="Arial"/>
          <w:sz w:val="13"/>
          <w:szCs w:val="13"/>
          <w:color w:val="auto"/>
        </w:rPr>
        <w:t>Note: During 2018, certain customers were reclassified to a different market. Prior year information has been restated to reflect these changes.</w:t>
      </w:r>
    </w:p>
    <w:p>
      <w:pPr>
        <w:spacing w:after="0" w:line="22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Net sales attributable to the West reportable segment increased in the first quarter of 2018 compared to 2017 due to increases in sales to all markets primarily due to factors previously discussed.</w:t>
      </w:r>
    </w:p>
    <w:p>
      <w:pPr>
        <w:spacing w:after="0" w:line="3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Earnings from operations for the West reportable segment increased in the first quarter of 2018 by $2.8 million, or 15.2%, compared to the same period in 2017 due to a $4.1 million increase in gross profit offset by a $1.3 million increase in SG&amp;A expenses. Gross profits increased primarily due to organic sales growth and improved gross profits on sales to the industrial market due to the same factors previously discussed.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 Other</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13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3"/>
          </w:tcPr>
          <w:p>
            <w:pPr>
              <w:jc w:val="center"/>
              <w:ind w:right="380"/>
              <w:spacing w:after="0"/>
              <w:rPr>
                <w:sz w:val="20"/>
                <w:szCs w:val="20"/>
                <w:color w:val="auto"/>
              </w:rPr>
            </w:pPr>
            <w:r>
              <w:rPr>
                <w:rFonts w:ascii="Arial" w:cs="Arial" w:eastAsia="Arial" w:hAnsi="Arial"/>
                <w:sz w:val="14"/>
                <w:szCs w:val="14"/>
                <w:b w:val="1"/>
                <w:bCs w:val="1"/>
                <w:color w:val="auto"/>
                <w:w w:val="88"/>
              </w:rPr>
              <w:t>Net Sales</w:t>
            </w:r>
          </w:p>
        </w:tc>
        <w:tc>
          <w:tcPr>
            <w:tcW w:w="56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6"/>
        </w:trPr>
        <w:tc>
          <w:tcPr>
            <w:tcW w:w="134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9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600" w:type="dxa"/>
            <w:vAlign w:val="bottom"/>
            <w:tcBorders>
              <w:bottom w:val="single" w:sz="8" w:color="auto"/>
            </w:tcBorders>
            <w:gridSpan w:val="7"/>
          </w:tcPr>
          <w:p>
            <w:pPr>
              <w:jc w:val="center"/>
              <w:ind w:left="37"/>
              <w:spacing w:after="0" w:line="149" w:lineRule="exact"/>
              <w:rPr>
                <w:sz w:val="20"/>
                <w:szCs w:val="20"/>
                <w:color w:val="auto"/>
              </w:rPr>
            </w:pPr>
            <w:r>
              <w:rPr>
                <w:rFonts w:ascii="Arial" w:cs="Arial" w:eastAsia="Arial" w:hAnsi="Arial"/>
                <w:sz w:val="14"/>
                <w:szCs w:val="14"/>
                <w:b w:val="1"/>
                <w:bCs w:val="1"/>
                <w:color w:val="auto"/>
                <w:w w:val="96"/>
              </w:rPr>
              <w:t>All Other Segment by Market</w:t>
            </w:r>
          </w:p>
        </w:tc>
        <w:tc>
          <w:tcPr>
            <w:tcW w:w="20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9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6"/>
          </w:tcPr>
          <w:p>
            <w:pPr>
              <w:jc w:val="center"/>
              <w:ind w:left="577"/>
              <w:spacing w:after="0" w:line="149" w:lineRule="exact"/>
              <w:rPr>
                <w:sz w:val="20"/>
                <w:szCs w:val="20"/>
                <w:color w:val="auto"/>
              </w:rPr>
            </w:pPr>
            <w:r>
              <w:rPr>
                <w:rFonts w:ascii="Arial" w:cs="Arial" w:eastAsia="Arial" w:hAnsi="Arial"/>
                <w:sz w:val="14"/>
                <w:szCs w:val="14"/>
                <w:b w:val="1"/>
                <w:bCs w:val="1"/>
                <w:color w:val="auto"/>
                <w:w w:val="93"/>
              </w:rPr>
              <w:t>Three Months Ended</w:t>
            </w:r>
          </w:p>
        </w:tc>
        <w:tc>
          <w:tcPr>
            <w:tcW w:w="56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3820" w:type="dxa"/>
            <w:vAlign w:val="bottom"/>
            <w:gridSpan w:val="2"/>
            <w:vMerge w:val="continue"/>
          </w:tcPr>
          <w:p>
            <w:pPr>
              <w:spacing w:after="0"/>
              <w:rPr>
                <w:sz w:val="10"/>
                <w:szCs w:val="10"/>
                <w:color w:val="auto"/>
              </w:rPr>
            </w:pPr>
          </w:p>
        </w:tc>
        <w:tc>
          <w:tcPr>
            <w:tcW w:w="1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right"/>
              <w:ind w:right="300"/>
              <w:spacing w:after="0" w:line="126" w:lineRule="exact"/>
              <w:rPr>
                <w:sz w:val="20"/>
                <w:szCs w:val="20"/>
                <w:color w:val="auto"/>
              </w:rPr>
            </w:pPr>
            <w:r>
              <w:rPr>
                <w:rFonts w:ascii="Arial" w:cs="Arial" w:eastAsia="Arial" w:hAnsi="Arial"/>
                <w:sz w:val="14"/>
                <w:szCs w:val="14"/>
                <w:b w:val="1"/>
                <w:bCs w:val="1"/>
                <w:color w:val="auto"/>
                <w:w w:val="95"/>
              </w:rPr>
              <w:t>March 31,</w:t>
            </w:r>
          </w:p>
        </w:tc>
        <w:tc>
          <w:tcPr>
            <w:tcW w:w="120" w:type="dxa"/>
            <w:vAlign w:val="bottom"/>
          </w:tcPr>
          <w:p>
            <w:pPr>
              <w:spacing w:after="0"/>
              <w:rPr>
                <w:sz w:val="10"/>
                <w:szCs w:val="10"/>
                <w:color w:val="auto"/>
              </w:rPr>
            </w:pPr>
          </w:p>
        </w:tc>
        <w:tc>
          <w:tcPr>
            <w:tcW w:w="980" w:type="dxa"/>
            <w:vAlign w:val="bottom"/>
            <w:gridSpan w:val="3"/>
          </w:tcPr>
          <w:p>
            <w:pPr>
              <w:jc w:val="center"/>
              <w:ind w:right="380"/>
              <w:spacing w:after="0" w:line="126" w:lineRule="exact"/>
              <w:rPr>
                <w:sz w:val="20"/>
                <w:szCs w:val="20"/>
                <w:color w:val="auto"/>
              </w:rPr>
            </w:pPr>
            <w:r>
              <w:rPr>
                <w:rFonts w:ascii="Arial" w:cs="Arial" w:eastAsia="Arial" w:hAnsi="Arial"/>
                <w:sz w:val="14"/>
                <w:szCs w:val="14"/>
                <w:b w:val="1"/>
                <w:bCs w:val="1"/>
                <w:color w:val="auto"/>
              </w:rPr>
              <w:t>April 1,</w:t>
            </w:r>
          </w:p>
        </w:tc>
        <w:tc>
          <w:tcPr>
            <w:tcW w:w="5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1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Market Classification</w:t>
            </w:r>
          </w:p>
        </w:tc>
        <w:tc>
          <w:tcPr>
            <w:tcW w:w="24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2018</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w w:val="89"/>
              </w:rPr>
              <w:t>2017</w:t>
            </w:r>
          </w:p>
        </w:tc>
        <w:tc>
          <w:tcPr>
            <w:tcW w:w="18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4"/>
              </w:rPr>
              <w:t>% Change</w:t>
            </w: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82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Retail</w:t>
            </w:r>
          </w:p>
        </w:tc>
        <w:tc>
          <w:tcPr>
            <w:tcW w:w="19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48,931</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41,636</w:t>
            </w:r>
          </w:p>
        </w:tc>
        <w:tc>
          <w:tcPr>
            <w:tcW w:w="1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17.5</w:t>
            </w:r>
          </w:p>
        </w:tc>
        <w:tc>
          <w:tcPr>
            <w:tcW w:w="2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9"/>
              </w:rPr>
              <w:t>%</w:t>
            </w:r>
          </w:p>
        </w:tc>
        <w:tc>
          <w:tcPr>
            <w:tcW w:w="4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20" w:type="dxa"/>
            <w:vAlign w:val="bottom"/>
            <w:gridSpan w:val="2"/>
          </w:tcPr>
          <w:p>
            <w:pPr>
              <w:spacing w:after="0"/>
              <w:rPr>
                <w:sz w:val="20"/>
                <w:szCs w:val="20"/>
                <w:color w:val="auto"/>
              </w:rPr>
            </w:pPr>
            <w:r>
              <w:rPr>
                <w:rFonts w:ascii="Arial" w:cs="Arial" w:eastAsia="Arial" w:hAnsi="Arial"/>
                <w:sz w:val="18"/>
                <w:szCs w:val="18"/>
                <w:color w:val="auto"/>
              </w:rPr>
              <w:t>Industrial</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72,749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69,130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82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Construction</w:t>
            </w:r>
          </w:p>
        </w:tc>
        <w:tc>
          <w:tcPr>
            <w:tcW w:w="19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4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3820" w:type="dxa"/>
            <w:vAlign w:val="bottom"/>
            <w:gridSpan w:val="2"/>
          </w:tcPr>
          <w:p>
            <w:pPr>
              <w:spacing w:after="0" w:line="203" w:lineRule="exact"/>
              <w:rPr>
                <w:sz w:val="20"/>
                <w:szCs w:val="20"/>
                <w:color w:val="auto"/>
              </w:rPr>
            </w:pPr>
            <w:r>
              <w:rPr>
                <w:rFonts w:ascii="Arial" w:cs="Arial" w:eastAsia="Arial" w:hAnsi="Arial"/>
                <w:sz w:val="18"/>
                <w:szCs w:val="18"/>
                <w:color w:val="auto"/>
              </w:rPr>
              <w:t>Total Gross Sales</w:t>
            </w: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121,730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right"/>
              <w:spacing w:after="0" w:line="203" w:lineRule="exact"/>
              <w:rPr>
                <w:sz w:val="20"/>
                <w:szCs w:val="20"/>
                <w:color w:val="auto"/>
              </w:rPr>
            </w:pPr>
            <w:r>
              <w:rPr>
                <w:rFonts w:ascii="Arial" w:cs="Arial" w:eastAsia="Arial" w:hAnsi="Arial"/>
                <w:sz w:val="18"/>
                <w:szCs w:val="18"/>
                <w:color w:val="auto"/>
                <w:w w:val="95"/>
              </w:rPr>
              <w:t>110,881</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line="203" w:lineRule="exact"/>
              <w:rPr>
                <w:sz w:val="20"/>
                <w:szCs w:val="20"/>
                <w:color w:val="auto"/>
              </w:rPr>
            </w:pPr>
            <w:r>
              <w:rPr>
                <w:rFonts w:ascii="Arial" w:cs="Arial" w:eastAsia="Arial" w:hAnsi="Arial"/>
                <w:sz w:val="18"/>
                <w:szCs w:val="18"/>
                <w:color w:val="auto"/>
              </w:rPr>
              <w:t>9.8</w:t>
            </w:r>
          </w:p>
        </w:tc>
        <w:tc>
          <w:tcPr>
            <w:tcW w:w="200" w:type="dxa"/>
            <w:vAlign w:val="bottom"/>
          </w:tcPr>
          <w:p>
            <w:pPr>
              <w:jc w:val="right"/>
              <w:spacing w:after="0" w:line="203" w:lineRule="exact"/>
              <w:rPr>
                <w:sz w:val="20"/>
                <w:szCs w:val="20"/>
                <w:color w:val="auto"/>
              </w:rPr>
            </w:pPr>
            <w:r>
              <w:rPr>
                <w:rFonts w:ascii="Arial" w:cs="Arial" w:eastAsia="Arial" w:hAnsi="Arial"/>
                <w:sz w:val="18"/>
                <w:szCs w:val="18"/>
                <w:color w:val="auto"/>
                <w:w w:val="99"/>
              </w:rPr>
              <w:t>%</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3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Sales Allowances &amp; Other</w:t>
            </w:r>
          </w:p>
        </w:tc>
        <w:tc>
          <w:tcPr>
            <w:tcW w:w="1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(2,547)</w:t>
            </w: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(575)</w:t>
            </w: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4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3820" w:type="dxa"/>
            <w:vAlign w:val="bottom"/>
            <w:tcBorders>
              <w:top w:val="single" w:sz="8" w:color="CCEEFF"/>
            </w:tcBorders>
            <w:gridSpan w:val="2"/>
          </w:tcPr>
          <w:p>
            <w:pPr>
              <w:spacing w:after="0" w:line="203" w:lineRule="exact"/>
              <w:rPr>
                <w:sz w:val="20"/>
                <w:szCs w:val="20"/>
                <w:color w:val="auto"/>
              </w:rPr>
            </w:pPr>
            <w:r>
              <w:rPr>
                <w:rFonts w:ascii="Arial" w:cs="Arial" w:eastAsia="Arial" w:hAnsi="Arial"/>
                <w:sz w:val="18"/>
                <w:szCs w:val="18"/>
                <w:color w:val="auto"/>
              </w:rPr>
              <w:t>Total Net Sales</w:t>
            </w:r>
          </w:p>
        </w:tc>
        <w:tc>
          <w:tcPr>
            <w:tcW w:w="19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119,183</w:t>
            </w:r>
          </w:p>
        </w:tc>
        <w:tc>
          <w:tcPr>
            <w:tcW w:w="180" w:type="dxa"/>
            <w:vAlign w:val="bottom"/>
            <w:tcBorders>
              <w:top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95"/>
              </w:rPr>
              <w:t>110,306</w:t>
            </w:r>
          </w:p>
        </w:tc>
        <w:tc>
          <w:tcPr>
            <w:tcW w:w="18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rPr>
              <w:t>8.0</w:t>
            </w:r>
          </w:p>
        </w:tc>
        <w:tc>
          <w:tcPr>
            <w:tcW w:w="200" w:type="dxa"/>
            <w:vAlign w:val="bottom"/>
            <w:tcBorders>
              <w:top w:val="single" w:sz="8" w:color="CCEEFF"/>
            </w:tcBorders>
          </w:tcPr>
          <w:p>
            <w:pPr>
              <w:jc w:val="right"/>
              <w:spacing w:after="0" w:line="203" w:lineRule="exact"/>
              <w:rPr>
                <w:sz w:val="20"/>
                <w:szCs w:val="20"/>
                <w:color w:val="auto"/>
              </w:rPr>
            </w:pPr>
            <w:r>
              <w:rPr>
                <w:rFonts w:ascii="Arial" w:cs="Arial" w:eastAsia="Arial" w:hAnsi="Arial"/>
                <w:sz w:val="18"/>
                <w:szCs w:val="18"/>
                <w:color w:val="auto"/>
                <w:w w:val="99"/>
              </w:rPr>
              <w:t>%</w:t>
            </w: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89" w:lineRule="exact"/>
        <w:rPr>
          <w:sz w:val="20"/>
          <w:szCs w:val="20"/>
          <w:color w:val="auto"/>
        </w:rPr>
      </w:pPr>
    </w:p>
    <w:p>
      <w:pPr>
        <w:ind w:left="500"/>
        <w:spacing w:after="0"/>
        <w:rPr>
          <w:sz w:val="20"/>
          <w:szCs w:val="20"/>
          <w:color w:val="auto"/>
        </w:rPr>
      </w:pPr>
      <w:r>
        <w:rPr>
          <w:rFonts w:ascii="Arial" w:cs="Arial" w:eastAsia="Arial" w:hAnsi="Arial"/>
          <w:sz w:val="13"/>
          <w:szCs w:val="13"/>
          <w:color w:val="auto"/>
        </w:rPr>
        <w:t>Note: During 2018, certain customers were reclassified to a different market. Prior year information has been restated to reflect these changes.</w:t>
      </w:r>
    </w:p>
    <w:p>
      <w:pPr>
        <w:spacing w:after="0" w:line="22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Our All Other reportable segment consists of our Alternative Materials, International, idX, and certain other segments which are not significant.</w:t>
      </w:r>
    </w:p>
    <w:p>
      <w:pPr>
        <w:spacing w:after="0" w:line="170"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Net sales attributable to All Other reportable segments increased in the first quarter of 2018 compared to 2017 due to increases in sales to the retail and industrial markets. Our increase in sales to the retail market was primarily due to a $6.4 million increase in sales within our International segment.</w:t>
      </w:r>
    </w:p>
    <w:p>
      <w:pPr>
        <w:spacing w:after="0" w:line="181"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Earnings from operations for All Other reportable segments decreased during the first quarter of 2018 by $3.7 million due to a $0.5 million decrease in gross profit and $3.2 million increase in SG&amp;A expenses, compared to the same period of 2017. The overall decrease in earnings from operations was primarily due to the Alternative Materials segment.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ind w:left="2880"/>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TRANSACTIONS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significant off-balance sheet transactions other than operating leases.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presents, for the periods indicated, a summary of our cash flow statement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7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00" w:type="dxa"/>
            <w:vAlign w:val="bottom"/>
            <w:gridSpan w:val="6"/>
          </w:tcPr>
          <w:p>
            <w:pPr>
              <w:ind w:left="220"/>
              <w:spacing w:after="0"/>
              <w:rPr>
                <w:sz w:val="20"/>
                <w:szCs w:val="20"/>
                <w:color w:val="auto"/>
              </w:rPr>
            </w:pPr>
            <w:r>
              <w:rPr>
                <w:rFonts w:ascii="Arial" w:cs="Arial" w:eastAsia="Arial" w:hAnsi="Arial"/>
                <w:sz w:val="14"/>
                <w:szCs w:val="14"/>
                <w:b w:val="1"/>
                <w:bCs w:val="1"/>
                <w:color w:val="auto"/>
              </w:rPr>
              <w:t>Three Months Ended</w:t>
            </w:r>
          </w:p>
        </w:tc>
      </w:tr>
      <w:tr>
        <w:trPr>
          <w:trHeight w:val="126"/>
        </w:trPr>
        <w:tc>
          <w:tcPr>
            <w:tcW w:w="70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ind w:left="40"/>
              <w:spacing w:after="0" w:line="126" w:lineRule="exact"/>
              <w:rPr>
                <w:sz w:val="20"/>
                <w:szCs w:val="20"/>
                <w:color w:val="auto"/>
              </w:rPr>
            </w:pPr>
            <w:r>
              <w:rPr>
                <w:rFonts w:ascii="Arial" w:cs="Arial" w:eastAsia="Arial" w:hAnsi="Arial"/>
                <w:sz w:val="14"/>
                <w:szCs w:val="14"/>
                <w:b w:val="1"/>
                <w:bCs w:val="1"/>
                <w:color w:val="auto"/>
              </w:rPr>
              <w:t>March 31,</w:t>
            </w:r>
          </w:p>
        </w:tc>
        <w:tc>
          <w:tcPr>
            <w:tcW w:w="6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tcPr>
          <w:p>
            <w:pPr>
              <w:jc w:val="right"/>
              <w:ind w:right="134"/>
              <w:spacing w:after="0" w:line="126" w:lineRule="exact"/>
              <w:rPr>
                <w:sz w:val="20"/>
                <w:szCs w:val="20"/>
                <w:color w:val="auto"/>
              </w:rPr>
            </w:pPr>
            <w:r>
              <w:rPr>
                <w:rFonts w:ascii="Arial" w:cs="Arial" w:eastAsia="Arial" w:hAnsi="Arial"/>
                <w:sz w:val="14"/>
                <w:szCs w:val="14"/>
                <w:b w:val="1"/>
                <w:bCs w:val="1"/>
                <w:color w:val="auto"/>
              </w:rPr>
              <w:t>April 1,</w:t>
            </w:r>
          </w:p>
        </w:tc>
        <w:tc>
          <w:tcPr>
            <w:tcW w:w="20" w:type="dxa"/>
            <w:vAlign w:val="bottom"/>
          </w:tcPr>
          <w:p>
            <w:pPr>
              <w:spacing w:after="0"/>
              <w:rPr>
                <w:sz w:val="10"/>
                <w:szCs w:val="10"/>
                <w:color w:val="auto"/>
              </w:rPr>
            </w:pPr>
          </w:p>
        </w:tc>
      </w:tr>
      <w:tr>
        <w:trPr>
          <w:trHeight w:val="178"/>
        </w:trPr>
        <w:tc>
          <w:tcPr>
            <w:tcW w:w="706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55"/>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2017</w:t>
            </w:r>
          </w:p>
        </w:tc>
        <w:tc>
          <w:tcPr>
            <w:tcW w:w="20" w:type="dxa"/>
            <w:vAlign w:val="bottom"/>
          </w:tcPr>
          <w:p>
            <w:pPr>
              <w:spacing w:after="0"/>
              <w:rPr>
                <w:sz w:val="15"/>
                <w:szCs w:val="15"/>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(84,172)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(70,740)</w:t>
            </w:r>
          </w:p>
        </w:tc>
        <w:tc>
          <w:tcPr>
            <w:tcW w:w="20" w:type="dxa"/>
            <w:vAlign w:val="bottom"/>
          </w:tcPr>
          <w:p>
            <w:pPr>
              <w:spacing w:after="0"/>
              <w:rPr>
                <w:sz w:val="18"/>
                <w:szCs w:val="18"/>
                <w:color w:val="auto"/>
              </w:rPr>
            </w:pPr>
          </w:p>
        </w:tc>
      </w:tr>
      <w:tr>
        <w:trPr>
          <w:trHeight w:val="216"/>
        </w:trPr>
        <w:tc>
          <w:tcPr>
            <w:tcW w:w="7060" w:type="dxa"/>
            <w:vAlign w:val="bottom"/>
          </w:tcPr>
          <w:p>
            <w:pPr>
              <w:spacing w:after="0"/>
              <w:rPr>
                <w:sz w:val="20"/>
                <w:szCs w:val="20"/>
                <w:color w:val="auto"/>
              </w:rPr>
            </w:pPr>
            <w:r>
              <w:rPr>
                <w:rFonts w:ascii="Arial" w:cs="Arial" w:eastAsia="Arial" w:hAnsi="Arial"/>
                <w:sz w:val="18"/>
                <w:szCs w:val="18"/>
                <w:color w:val="auto"/>
              </w:rPr>
              <w:t>Cash from (used in) investing activities</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(70,599)</w:t>
            </w:r>
          </w:p>
        </w:tc>
        <w:tc>
          <w:tcPr>
            <w:tcW w:w="20" w:type="dxa"/>
            <w:vAlign w:val="bottom"/>
          </w:tcPr>
          <w:p>
            <w:pPr>
              <w:spacing w:after="0"/>
              <w:rPr>
                <w:sz w:val="18"/>
                <w:szCs w:val="18"/>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Cash from financing activities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111,570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141,697</w:t>
            </w:r>
          </w:p>
        </w:tc>
        <w:tc>
          <w:tcPr>
            <w:tcW w:w="20" w:type="dxa"/>
            <w:vAlign w:val="bottom"/>
          </w:tcPr>
          <w:p>
            <w:pPr>
              <w:spacing w:after="0"/>
              <w:rPr>
                <w:sz w:val="18"/>
                <w:szCs w:val="18"/>
                <w:color w:val="auto"/>
              </w:rPr>
            </w:pPr>
          </w:p>
        </w:tc>
      </w:tr>
      <w:tr>
        <w:trPr>
          <w:trHeight w:val="223"/>
        </w:trPr>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Effect of exchange rate changes on cash</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20" w:type="dxa"/>
            <w:vAlign w:val="bottom"/>
          </w:tcPr>
          <w:p>
            <w:pPr>
              <w:spacing w:after="0"/>
              <w:rPr>
                <w:sz w:val="19"/>
                <w:szCs w:val="19"/>
                <w:color w:val="auto"/>
              </w:rPr>
            </w:pPr>
          </w:p>
        </w:tc>
      </w:tr>
      <w:tr>
        <w:trPr>
          <w:trHeight w:val="216"/>
        </w:trPr>
        <w:tc>
          <w:tcPr>
            <w:tcW w:w="70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all cash and cash equivalents</w:t>
            </w: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28,935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1,240</w:t>
            </w:r>
          </w:p>
        </w:tc>
        <w:tc>
          <w:tcPr>
            <w:tcW w:w="20" w:type="dxa"/>
            <w:vAlign w:val="bottom"/>
          </w:tcPr>
          <w:p>
            <w:pPr>
              <w:spacing w:after="0"/>
              <w:rPr>
                <w:sz w:val="18"/>
                <w:szCs w:val="18"/>
                <w:color w:val="auto"/>
              </w:rPr>
            </w:pPr>
          </w:p>
        </w:tc>
      </w:tr>
      <w:tr>
        <w:trPr>
          <w:trHeight w:val="223"/>
        </w:trPr>
        <w:tc>
          <w:tcPr>
            <w:tcW w:w="70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1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28,816</w:t>
            </w:r>
          </w:p>
        </w:tc>
        <w:tc>
          <w:tcPr>
            <w:tcW w:w="8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34,489</w:t>
            </w:r>
          </w:p>
        </w:tc>
        <w:tc>
          <w:tcPr>
            <w:tcW w:w="20" w:type="dxa"/>
            <w:vAlign w:val="bottom"/>
          </w:tcPr>
          <w:p>
            <w:pPr>
              <w:spacing w:after="0"/>
              <w:rPr>
                <w:sz w:val="19"/>
                <w:szCs w:val="19"/>
                <w:color w:val="auto"/>
              </w:rPr>
            </w:pPr>
          </w:p>
        </w:tc>
      </w:tr>
      <w:tr>
        <w:trPr>
          <w:trHeight w:val="223"/>
        </w:trPr>
        <w:tc>
          <w:tcPr>
            <w:tcW w:w="7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57,751</w:t>
            </w:r>
          </w:p>
        </w:tc>
        <w:tc>
          <w:tcPr>
            <w:tcW w:w="8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35,729</w:t>
            </w:r>
          </w:p>
        </w:tc>
        <w:tc>
          <w:tcPr>
            <w:tcW w:w="20" w:type="dxa"/>
            <w:vAlign w:val="bottom"/>
          </w:tcPr>
          <w:p>
            <w:pPr>
              <w:spacing w:after="0"/>
              <w:rPr>
                <w:sz w:val="19"/>
                <w:szCs w:val="19"/>
                <w:color w:val="auto"/>
              </w:rPr>
            </w:pPr>
          </w:p>
        </w:tc>
      </w:tr>
    </w:tbl>
    <w:p>
      <w:pPr>
        <w:spacing w:after="0" w:line="202"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In general, we funded our growth in the past through a combination of operating cash flows, our revolving credit facility, industrial development bonds (when circumstances permit), and issuance of long-term notes payable at times when interest rates are favorable. We have not issued equity to finance growth except in the case of a large acquisition. We manage our capital structure by attempting to maintain a targeted ratio of debt to equity and debt to earnings before interest, taxes, depreciation and amortization. We believe this is one of many important factors to maintaining a strong credit profile, which in turn helps ensure timely access to capital when needed.</w:t>
      </w:r>
    </w:p>
    <w:p>
      <w:pPr>
        <w:spacing w:after="0" w:line="1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Seasonality has a significant impact on our working capital due to our primary selling season which occurs during the period from March to August. Consequently, our working capital increases during our first and second quarters resulting in negative or modest cash flows from operations during those periods. Conversely, we experience a substantial decrease in working capital once we move beyond our peak selling season which typically results in significant cash flows from operations in our third and fourth quarters.</w:t>
      </w:r>
    </w:p>
    <w:p>
      <w:pPr>
        <w:spacing w:after="0" w:line="188"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Due to the seasonality of our business and the effects of the Lumber Market, we believe our cash cycle (days of sales outstanding plus days supply of inventory less days payables outstanding) is a good indicator of our working capital management. As indicated in the table below, our cash cycle decreased to 57 days from 59 days during the first quarter of 2018 compared to the prior periods.</w:t>
      </w:r>
    </w:p>
    <w:p>
      <w:pPr>
        <w:spacing w:after="0" w:line="192" w:lineRule="exact"/>
        <w:rPr>
          <w:sz w:val="20"/>
          <w:szCs w:val="20"/>
          <w:color w:val="auto"/>
        </w:rPr>
      </w:pPr>
    </w:p>
    <w:tbl>
      <w:tblPr>
        <w:tblLayout w:type="fixed"/>
        <w:tblInd w:w="920" w:type="dxa"/>
        <w:tblCellMar>
          <w:top w:w="0" w:type="dxa"/>
          <w:left w:w="0" w:type="dxa"/>
          <w:bottom w:w="0" w:type="dxa"/>
          <w:right w:w="0" w:type="dxa"/>
        </w:tblCellMar>
      </w:tblPr>
      <w:tr>
        <w:trPr>
          <w:trHeight w:val="178"/>
        </w:trPr>
        <w:tc>
          <w:tcPr>
            <w:tcW w:w="5560" w:type="dxa"/>
            <w:vAlign w:val="bottom"/>
          </w:tcPr>
          <w:p>
            <w:pPr>
              <w:spacing w:after="0"/>
              <w:rPr>
                <w:sz w:val="15"/>
                <w:szCs w:val="15"/>
                <w:color w:val="auto"/>
              </w:rPr>
            </w:pPr>
          </w:p>
        </w:tc>
        <w:tc>
          <w:tcPr>
            <w:tcW w:w="168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9"/>
              </w:rPr>
              <w:t>Three Months Ended</w:t>
            </w:r>
          </w:p>
        </w:tc>
      </w:tr>
      <w:tr>
        <w:trPr>
          <w:trHeight w:val="126"/>
        </w:trPr>
        <w:tc>
          <w:tcPr>
            <w:tcW w:w="5560" w:type="dxa"/>
            <w:vAlign w:val="bottom"/>
          </w:tcPr>
          <w:p>
            <w:pPr>
              <w:spacing w:after="0"/>
              <w:rPr>
                <w:sz w:val="10"/>
                <w:szCs w:val="10"/>
                <w:color w:val="auto"/>
              </w:rPr>
            </w:pPr>
          </w:p>
        </w:tc>
        <w:tc>
          <w:tcPr>
            <w:tcW w:w="840" w:type="dxa"/>
            <w:vAlign w:val="bottom"/>
            <w:tcBorders>
              <w:top w:val="single" w:sz="8" w:color="auto"/>
            </w:tcBorders>
            <w:gridSpan w:val="2"/>
          </w:tcPr>
          <w:p>
            <w:pPr>
              <w:spacing w:after="0" w:line="126" w:lineRule="exact"/>
              <w:rPr>
                <w:sz w:val="20"/>
                <w:szCs w:val="20"/>
                <w:color w:val="auto"/>
              </w:rPr>
            </w:pPr>
            <w:r>
              <w:rPr>
                <w:rFonts w:ascii="Arial" w:cs="Arial" w:eastAsia="Arial" w:hAnsi="Arial"/>
                <w:sz w:val="14"/>
                <w:szCs w:val="14"/>
                <w:b w:val="1"/>
                <w:bCs w:val="1"/>
                <w:color w:val="auto"/>
              </w:rPr>
              <w:t>March 31,</w:t>
            </w:r>
          </w:p>
        </w:tc>
        <w:tc>
          <w:tcPr>
            <w:tcW w:w="660" w:type="dxa"/>
            <w:vAlign w:val="bottom"/>
            <w:tcBorders>
              <w:top w:val="single" w:sz="8" w:color="auto"/>
            </w:tcBorders>
          </w:tcPr>
          <w:p>
            <w:pPr>
              <w:jc w:val="right"/>
              <w:ind w:right="16"/>
              <w:spacing w:after="0" w:line="126" w:lineRule="exact"/>
              <w:rPr>
                <w:sz w:val="20"/>
                <w:szCs w:val="20"/>
                <w:color w:val="auto"/>
              </w:rPr>
            </w:pPr>
            <w:r>
              <w:rPr>
                <w:rFonts w:ascii="Arial" w:cs="Arial" w:eastAsia="Arial" w:hAnsi="Arial"/>
                <w:sz w:val="14"/>
                <w:szCs w:val="14"/>
                <w:b w:val="1"/>
                <w:bCs w:val="1"/>
                <w:color w:val="auto"/>
              </w:rPr>
              <w:t>April 1,</w:t>
            </w:r>
          </w:p>
        </w:tc>
        <w:tc>
          <w:tcPr>
            <w:tcW w:w="180" w:type="dxa"/>
            <w:vAlign w:val="bottom"/>
          </w:tcPr>
          <w:p>
            <w:pPr>
              <w:spacing w:after="0"/>
              <w:rPr>
                <w:sz w:val="10"/>
                <w:szCs w:val="10"/>
                <w:color w:val="auto"/>
              </w:rPr>
            </w:pPr>
          </w:p>
        </w:tc>
      </w:tr>
      <w:tr>
        <w:trPr>
          <w:trHeight w:val="178"/>
        </w:trPr>
        <w:tc>
          <w:tcPr>
            <w:tcW w:w="556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rPr>
              <w:t>2018</w:t>
            </w:r>
          </w:p>
        </w:tc>
        <w:tc>
          <w:tcPr>
            <w:tcW w:w="1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CCEEFF"/>
            </w:tcBorders>
          </w:tcPr>
          <w:p>
            <w:pPr>
              <w:spacing w:after="0"/>
              <w:rPr>
                <w:sz w:val="15"/>
                <w:szCs w:val="15"/>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Days of sales outstanding</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Days supply of inventory</w:t>
            </w:r>
          </w:p>
        </w:tc>
        <w:tc>
          <w:tcPr>
            <w:tcW w:w="660" w:type="dxa"/>
            <w:vAlign w:val="bottom"/>
          </w:tcPr>
          <w:p>
            <w:pPr>
              <w:jc w:val="right"/>
              <w:spacing w:after="0"/>
              <w:rPr>
                <w:sz w:val="20"/>
                <w:szCs w:val="20"/>
                <w:color w:val="auto"/>
              </w:rPr>
            </w:pPr>
            <w:r>
              <w:rPr>
                <w:rFonts w:ascii="Arial" w:cs="Arial" w:eastAsia="Arial" w:hAnsi="Arial"/>
                <w:sz w:val="18"/>
                <w:szCs w:val="18"/>
                <w:color w:val="auto"/>
              </w:rPr>
              <w:t>46</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w:t>
            </w:r>
          </w:p>
        </w:tc>
        <w:tc>
          <w:tcPr>
            <w:tcW w:w="180" w:type="dxa"/>
            <w:vAlign w:val="bottom"/>
          </w:tcPr>
          <w:p>
            <w:pPr>
              <w:spacing w:after="0"/>
              <w:rPr>
                <w:sz w:val="18"/>
                <w:szCs w:val="18"/>
                <w:color w:val="auto"/>
              </w:rPr>
            </w:pPr>
          </w:p>
        </w:tc>
      </w:tr>
      <w:tr>
        <w:trPr>
          <w:trHeight w:val="236"/>
        </w:trPr>
        <w:tc>
          <w:tcPr>
            <w:tcW w:w="55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Days payables outstanding</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CCEEFF"/>
            </w:tcBorders>
            <w:shd w:val="clear" w:color="auto" w:fill="CCEEFF"/>
          </w:tcPr>
          <w:p>
            <w:pPr>
              <w:spacing w:after="0"/>
              <w:rPr>
                <w:sz w:val="20"/>
                <w:szCs w:val="20"/>
                <w:color w:val="auto"/>
              </w:rPr>
            </w:pPr>
          </w:p>
        </w:tc>
      </w:tr>
      <w:tr>
        <w:trPr>
          <w:trHeight w:val="210"/>
        </w:trPr>
        <w:tc>
          <w:tcPr>
            <w:tcW w:w="5560" w:type="dxa"/>
            <w:vAlign w:val="bottom"/>
          </w:tcPr>
          <w:p>
            <w:pPr>
              <w:spacing w:after="0" w:line="203" w:lineRule="exact"/>
              <w:rPr>
                <w:sz w:val="20"/>
                <w:szCs w:val="20"/>
                <w:color w:val="auto"/>
              </w:rPr>
            </w:pPr>
            <w:r>
              <w:rPr>
                <w:rFonts w:ascii="Arial" w:cs="Arial" w:eastAsia="Arial" w:hAnsi="Arial"/>
                <w:sz w:val="18"/>
                <w:szCs w:val="18"/>
                <w:color w:val="auto"/>
              </w:rPr>
              <w:t>Days in cash cycle</w:t>
            </w: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57</w:t>
            </w:r>
          </w:p>
        </w:tc>
        <w:tc>
          <w:tcPr>
            <w:tcW w:w="180" w:type="dxa"/>
            <w:vAlign w:val="bottom"/>
          </w:tcPr>
          <w:p>
            <w:pPr>
              <w:spacing w:after="0"/>
              <w:rPr>
                <w:sz w:val="18"/>
                <w:szCs w:val="18"/>
                <w:color w:val="auto"/>
              </w:rPr>
            </w:pPr>
          </w:p>
        </w:tc>
        <w:tc>
          <w:tcPr>
            <w:tcW w:w="6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59</w:t>
            </w:r>
          </w:p>
        </w:tc>
        <w:tc>
          <w:tcPr>
            <w:tcW w:w="180" w:type="dxa"/>
            <w:vAlign w:val="bottom"/>
          </w:tcPr>
          <w:p>
            <w:pPr>
              <w:spacing w:after="0"/>
              <w:rPr>
                <w:sz w:val="18"/>
                <w:szCs w:val="18"/>
                <w:color w:val="auto"/>
              </w:rPr>
            </w:pPr>
          </w:p>
        </w:tc>
      </w:tr>
    </w:tbl>
    <w:p>
      <w:pPr>
        <w:spacing w:after="0" w:line="20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the first three months of 2018, our cash used in operating activities was $84.2 million, which was comprised of net earnings of $33.6 million and $8.0 million of non-cash expenses, offset by a $125.8 million seasonal increase in working capital since the end of December 2017. Comparatively in the first three months of 2017, our cash used in operating activities was $70.8 million, which was comprised of net earnings of $21.6 million, $13.2 million of non-cash expenses, and a $105.6 million seasonal increase in working capital. The increase in working capital compared to the same period last year was primarily due to growth in our business and higher lumber prices.</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right="40"/>
        <w:spacing w:after="0" w:line="284" w:lineRule="auto"/>
        <w:rPr>
          <w:sz w:val="20"/>
          <w:szCs w:val="20"/>
          <w:color w:val="auto"/>
        </w:rPr>
      </w:pPr>
      <w:r>
        <w:rPr>
          <w:rFonts w:ascii="Arial" w:cs="Arial" w:eastAsia="Arial" w:hAnsi="Arial"/>
          <w:sz w:val="16"/>
          <w:szCs w:val="16"/>
          <w:color w:val="auto"/>
        </w:rPr>
        <w:t>Acquisitions and purchases of property, plant, and equipment comprised most of our cash used in investing activities during the first three months of 2018 and totaled $8.8 million and $24.4 million, respectively. Proceeds from the sale of our Medley, FL, plant provided approximately $36 million in net cash proceeds. Outstanding purchase commitments on existing capital projects totaled approximately $28.5 million on March 31, 2018. We currently plan to spend $85 million for the year in 2018 on capital expenditures. We intend to fund capital expenditures and purchase commitments through our operating cash flows for the balance of the year. Comparatively, capital expenditures were $16.5 million during the first three months of</w:t>
      </w:r>
    </w:p>
    <w:p>
      <w:pPr>
        <w:spacing w:after="0" w:line="5" w:lineRule="exact"/>
        <w:rPr>
          <w:sz w:val="20"/>
          <w:szCs w:val="20"/>
          <w:color w:val="auto"/>
        </w:rPr>
      </w:pPr>
    </w:p>
    <w:p>
      <w:pPr>
        <w:ind w:right="240"/>
        <w:spacing w:after="0" w:line="302" w:lineRule="auto"/>
        <w:rPr>
          <w:sz w:val="20"/>
          <w:szCs w:val="20"/>
          <w:color w:val="auto"/>
        </w:rPr>
      </w:pPr>
      <w:r>
        <w:rPr>
          <w:rFonts w:ascii="Arial" w:cs="Arial" w:eastAsia="Arial" w:hAnsi="Arial"/>
          <w:sz w:val="16"/>
          <w:szCs w:val="16"/>
          <w:color w:val="auto"/>
        </w:rPr>
        <w:t>2017. The increase in our capital expenditures in 2018 is primarily due to the additional requirements of recently acquired operations and certain real estate purchases as we continue to grow our business. The sale and purchase of investments totaling $5.0 million and $6.7 million, respectively, are due to investment activity in our captive insurance subsidiary.</w:t>
      </w:r>
    </w:p>
    <w:p>
      <w:pPr>
        <w:spacing w:after="0" w:line="155"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color w:val="auto"/>
        </w:rPr>
        <w:t>Cash flows from financing activities primarily consisted of net borrowings under our revolving credit facility of approximately $116.9 million, primarily as a result of seasonal working capital requirements.</w:t>
      </w:r>
    </w:p>
    <w:p>
      <w:pPr>
        <w:spacing w:after="0" w:line="17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On March 31, 2018, we had $176.2 million outstanding on our $295 million revolving credit facility. The outstanding revolving credit facility also includes letters of credit totaling approximately $9.8 million on March 31, 2018; as a result, we have approximately $109.0 million in remaining availability on our revolver after considering letters of credit. Additionally, we have $225 million in availability under an amended “shelf agreement” for long term debt with a current lender. Financial covenants on the unsecured revolving credit facility and unsecured notes include minimum interest tests and a maximum leverage ratio. The agreements also restrict the amount of additional indebtedness we may incur and the amount of assets which may be sold. We were in compliance with all our covenant requirements on March 31, 2018.</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ENVIRONMENTAL CONSIDERATIONS AND REGULATIONS</w:t>
      </w:r>
    </w:p>
    <w:p>
      <w:pPr>
        <w:spacing w:after="0" w:line="229"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See Notes to Unaudited Consolidated Condensed Financial Statements, Note E, “Commitments, Contingencies, and Guarantees.”</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firstLine="648"/>
        <w:spacing w:after="0" w:line="279" w:lineRule="auto"/>
        <w:rPr>
          <w:sz w:val="20"/>
          <w:szCs w:val="20"/>
          <w:color w:val="auto"/>
        </w:rPr>
      </w:pPr>
      <w:r>
        <w:rPr>
          <w:rFonts w:ascii="Arial" w:cs="Arial" w:eastAsia="Arial" w:hAnsi="Arial"/>
          <w:sz w:val="17"/>
          <w:szCs w:val="17"/>
          <w:color w:val="auto"/>
        </w:rPr>
        <w:t>In preparing our consolidated financial statements, we follow accounting principles generally accepted in the United States. These principles require us to make certain estimates and apply judgments that affect our financial position and results of operations. We continually review our accounting policies and financial information disclosures. There have been no material changes in our policies or estimates since December 30,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r>
        <w:rPr>
          <w:rFonts w:ascii="Arial" w:cs="Arial" w:eastAsia="Arial" w:hAnsi="Arial"/>
          <w:sz w:val="18"/>
          <w:szCs w:val="18"/>
          <w:b w:val="1"/>
          <w:bCs w:val="1"/>
          <w:color w:val="auto"/>
        </w:rPr>
        <w:t>.</w:t>
      </w:r>
    </w:p>
    <w:p>
      <w:pPr>
        <w:spacing w:after="0" w:line="229"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We are exposed to market risks related to fluctuations in interest rates on our variable rate debt, which consists of a revolving credit facility and industrial development revenue bonds. We do not currently use interest rate swaps, futures contracts or options on futures, or other types of derivative financial instruments to mitigate this risk.</w:t>
      </w:r>
    </w:p>
    <w:p>
      <w:pPr>
        <w:spacing w:after="0" w:line="166"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For fixed rate debt, changes in interest rates generally affect the fair market value, but not earnings or cash flows. Conversely, for variable rate debt, changes in interest rates generally do not influence fair market value, but do affect future earnings and cash flows. We do not have an obligation to prepay fixed rate debt prior to maturity, and as a result, interest rate risk and changes in fair market value should not have a significant impact on such debt until we would be required to refinance it.</w:t>
      </w:r>
    </w:p>
    <w:p>
      <w:pPr>
        <w:spacing w:after="0" w:line="154"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We are subject to fluctuations in the price of lumber. We experience significant fluctuations in the cost of commodity lumber products from primary producers (the “Lumber Market”). A variety of factors over which we have no control, including government regulations, transportation, environmental regulations, weather conditions, economic conditions, and natural disasters, impact the cost of lumber products and our selling prices. While we attempt to minimize our risk from severe price fluctuations, substantial, prolonged trends in lumber prices can affect our sales volume, our gross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FOREST PRODUCTS, INC.</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margins, and our profitability. We anticipate that these fluctuations will continue in the future. (See “Impact of the Lumber Market on Our Operating Results.”)</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international operations have exposure to foreign currency rate risks, primarily due to fluctuations in their local currency, which is their functional currency, compared to the U.S. dollar. Additionally, certain of our operations enter into transactions that will be settled in a currency other than the U.S. Dollar. We entered into forward foreign exchange rate contracts in 2017 and may enter into further forward contracts in the future associated with mitigating the foreign currency exchange risk. Historically, our hedge contracts are deemed immaterial to the financial statements, however any material hedge contract in the future will be disclosed.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r>
        <w:rPr>
          <w:rFonts w:ascii="Arial" w:cs="Arial" w:eastAsia="Arial" w:hAnsi="Arial"/>
          <w:sz w:val="18"/>
          <w:szCs w:val="18"/>
          <w:b w:val="1"/>
          <w:bCs w:val="1"/>
          <w:color w:val="auto"/>
        </w:rPr>
        <w:t>.</w:t>
      </w:r>
    </w:p>
    <w:p>
      <w:pPr>
        <w:spacing w:after="0" w:line="229" w:lineRule="exact"/>
        <w:rPr>
          <w:sz w:val="20"/>
          <w:szCs w:val="20"/>
          <w:color w:val="auto"/>
        </w:rPr>
      </w:pPr>
    </w:p>
    <w:p>
      <w:pPr>
        <w:ind w:left="820" w:right="20" w:hanging="331"/>
        <w:spacing w:after="0" w:line="302" w:lineRule="auto"/>
        <w:tabs>
          <w:tab w:leader="none" w:pos="820" w:val="left"/>
        </w:tabs>
        <w:numPr>
          <w:ilvl w:val="0"/>
          <w:numId w:val="20"/>
        </w:numPr>
        <w:rPr>
          <w:rFonts w:ascii="Arial" w:cs="Arial" w:eastAsia="Arial" w:hAnsi="Arial"/>
          <w:sz w:val="16"/>
          <w:szCs w:val="16"/>
          <w:color w:val="auto"/>
        </w:rPr>
      </w:pPr>
      <w:r>
        <w:rPr>
          <w:rFonts w:ascii="Arial" w:cs="Arial" w:eastAsia="Arial" w:hAnsi="Arial"/>
          <w:sz w:val="16"/>
          <w:szCs w:val="16"/>
          <w:u w:val="single" w:color="auto"/>
          <w:color w:val="auto"/>
        </w:rPr>
        <w:t>Evaluation of Disclosure Controls and Procedures</w:t>
      </w:r>
      <w:r>
        <w:rPr>
          <w:rFonts w:ascii="Arial" w:cs="Arial" w:eastAsia="Arial" w:hAnsi="Arial"/>
          <w:sz w:val="16"/>
          <w:szCs w:val="16"/>
          <w:color w:val="auto"/>
        </w:rPr>
        <w:t>. With the participation of management, our chief executive officer and chief financial officer, after evaluating the effectiveness of our disclosure controls and procedures (as defined in Exchange Act Rules 13a – 15e and 15d – 15e) as of the quarter ended March 31, 2018 (the “Evaluation Date”), have concluded that, as of such date, our disclosure controls and procedures were effective.</w:t>
      </w:r>
    </w:p>
    <w:p>
      <w:pPr>
        <w:spacing w:after="0" w:line="154" w:lineRule="exact"/>
        <w:rPr>
          <w:rFonts w:ascii="Arial" w:cs="Arial" w:eastAsia="Arial" w:hAnsi="Arial"/>
          <w:sz w:val="16"/>
          <w:szCs w:val="16"/>
          <w:color w:val="auto"/>
        </w:rPr>
      </w:pPr>
    </w:p>
    <w:p>
      <w:pPr>
        <w:ind w:left="820" w:right="240" w:hanging="331"/>
        <w:spacing w:after="0" w:line="264" w:lineRule="auto"/>
        <w:tabs>
          <w:tab w:leader="none" w:pos="820" w:val="left"/>
        </w:tabs>
        <w:numPr>
          <w:ilvl w:val="0"/>
          <w:numId w:val="20"/>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Controls</w:t>
      </w:r>
      <w:r>
        <w:rPr>
          <w:rFonts w:ascii="Arial" w:cs="Arial" w:eastAsia="Arial" w:hAnsi="Arial"/>
          <w:sz w:val="18"/>
          <w:szCs w:val="18"/>
          <w:color w:val="auto"/>
        </w:rPr>
        <w:t>. During the quarter ended March 31, 2018, there were no changes in our internal control over financial reporting that materially affected, or is reasonably likely to materially affect, our internal control over financial reporting.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r>
        <w:rPr>
          <w:rFonts w:ascii="Arial" w:cs="Arial" w:eastAsia="Arial" w:hAnsi="Arial"/>
          <w:sz w:val="18"/>
          <w:szCs w:val="18"/>
          <w:b w:val="1"/>
          <w:bCs w:val="1"/>
          <w:color w:val="auto"/>
        </w:rPr>
        <w:t>.</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r>
        <w:rPr>
          <w:rFonts w:ascii="Arial" w:cs="Arial" w:eastAsia="Arial" w:hAnsi="Arial"/>
          <w:sz w:val="18"/>
          <w:szCs w:val="18"/>
          <w:b w:val="1"/>
          <w:bCs w:val="1"/>
          <w:color w:val="auto"/>
        </w:rPr>
        <w:t>.</w:t>
      </w:r>
    </w:p>
    <w:p>
      <w:pPr>
        <w:spacing w:after="0" w:line="229" w:lineRule="exact"/>
        <w:rPr>
          <w:sz w:val="20"/>
          <w:szCs w:val="20"/>
          <w:color w:val="auto"/>
        </w:rPr>
      </w:pPr>
    </w:p>
    <w:p>
      <w:pPr>
        <w:ind w:left="820" w:hanging="331"/>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820" w:hanging="331"/>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None.</w:t>
      </w:r>
    </w:p>
    <w:p>
      <w:pPr>
        <w:spacing w:after="0" w:line="225" w:lineRule="exact"/>
        <w:rPr>
          <w:rFonts w:ascii="Arial" w:cs="Arial" w:eastAsia="Arial" w:hAnsi="Arial"/>
          <w:sz w:val="18"/>
          <w:szCs w:val="18"/>
          <w:color w:val="auto"/>
        </w:rPr>
      </w:pPr>
    </w:p>
    <w:p>
      <w:pPr>
        <w:ind w:left="820" w:hanging="331"/>
        <w:spacing w:after="0"/>
        <w:tabs>
          <w:tab w:leader="none" w:pos="82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Issuer purchases of equity securities.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Fiscal Month</w:t>
            </w:r>
          </w:p>
        </w:tc>
        <w:tc>
          <w:tcPr>
            <w:tcW w:w="5220" w:type="dxa"/>
            <w:vAlign w:val="bottom"/>
            <w:gridSpan w:val="2"/>
          </w:tcPr>
          <w:p>
            <w:pPr>
              <w:spacing w:after="0"/>
              <w:rPr>
                <w:sz w:val="16"/>
                <w:szCs w:val="16"/>
                <w:color w:val="auto"/>
              </w:rPr>
            </w:pPr>
          </w:p>
        </w:tc>
        <w:tc>
          <w:tcPr>
            <w:tcW w:w="64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(a)</w:t>
            </w:r>
          </w:p>
        </w:tc>
        <w:tc>
          <w:tcPr>
            <w:tcW w:w="140" w:type="dxa"/>
            <w:vAlign w:val="bottom"/>
          </w:tcPr>
          <w:p>
            <w:pPr>
              <w:spacing w:after="0"/>
              <w:rPr>
                <w:sz w:val="16"/>
                <w:szCs w:val="16"/>
                <w:color w:val="auto"/>
              </w:rPr>
            </w:pPr>
          </w:p>
        </w:tc>
        <w:tc>
          <w:tcPr>
            <w:tcW w:w="54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rPr>
              <w:t>(b)</w:t>
            </w:r>
          </w:p>
        </w:tc>
        <w:tc>
          <w:tcPr>
            <w:tcW w:w="160" w:type="dxa"/>
            <w:vAlign w:val="bottom"/>
          </w:tcPr>
          <w:p>
            <w:pPr>
              <w:spacing w:after="0"/>
              <w:rPr>
                <w:sz w:val="16"/>
                <w:szCs w:val="16"/>
                <w:color w:val="auto"/>
              </w:rPr>
            </w:pPr>
          </w:p>
        </w:tc>
        <w:tc>
          <w:tcPr>
            <w:tcW w:w="54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(c)</w:t>
            </w:r>
          </w:p>
        </w:tc>
        <w:tc>
          <w:tcPr>
            <w:tcW w:w="160" w:type="dxa"/>
            <w:vAlign w:val="bottom"/>
          </w:tcPr>
          <w:p>
            <w:pPr>
              <w:spacing w:after="0"/>
              <w:rPr>
                <w:sz w:val="16"/>
                <w:szCs w:val="16"/>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(d)</w:t>
            </w:r>
          </w:p>
        </w:tc>
      </w:tr>
      <w:tr>
        <w:trPr>
          <w:trHeight w:val="203"/>
        </w:trPr>
        <w:tc>
          <w:tcPr>
            <w:tcW w:w="604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December 31, 2017 - February 3, 2018</w:t>
            </w: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ind w:left="300"/>
              <w:spacing w:after="0" w:line="203"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2,721,023</w:t>
            </w:r>
          </w:p>
        </w:tc>
      </w:tr>
      <w:tr>
        <w:trPr>
          <w:trHeight w:val="216"/>
        </w:trPr>
        <w:tc>
          <w:tcPr>
            <w:tcW w:w="6040" w:type="dxa"/>
            <w:vAlign w:val="bottom"/>
            <w:gridSpan w:val="3"/>
          </w:tcPr>
          <w:p>
            <w:pPr>
              <w:spacing w:after="0"/>
              <w:rPr>
                <w:sz w:val="20"/>
                <w:szCs w:val="20"/>
                <w:color w:val="auto"/>
              </w:rPr>
            </w:pPr>
            <w:r>
              <w:rPr>
                <w:rFonts w:ascii="Arial" w:cs="Arial" w:eastAsia="Arial" w:hAnsi="Arial"/>
                <w:sz w:val="18"/>
                <w:szCs w:val="18"/>
                <w:color w:val="auto"/>
              </w:rPr>
              <w:t>February 4 - March 3, 2018</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2,721,023</w:t>
            </w:r>
          </w:p>
        </w:tc>
      </w:tr>
      <w:tr>
        <w:trPr>
          <w:trHeight w:val="216"/>
        </w:trPr>
        <w:tc>
          <w:tcPr>
            <w:tcW w:w="60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4 - 31, 2018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25,812</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32.85</w:t>
            </w: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2,695,211</w:t>
            </w:r>
          </w:p>
        </w:tc>
      </w:tr>
      <w:tr>
        <w:trPr>
          <w:trHeight w:val="108"/>
        </w:trPr>
        <w:tc>
          <w:tcPr>
            <w:tcW w:w="82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tcPr>
          <w:p>
            <w:pPr>
              <w:spacing w:after="0"/>
              <w:rPr>
                <w:sz w:val="9"/>
                <w:szCs w:val="9"/>
                <w:color w:val="auto"/>
              </w:rPr>
            </w:pPr>
          </w:p>
        </w:tc>
        <w:tc>
          <w:tcPr>
            <w:tcW w:w="37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4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40" w:type="dxa"/>
            <w:vAlign w:val="bottom"/>
          </w:tcPr>
          <w:p>
            <w:pPr>
              <w:spacing w:after="0"/>
              <w:rPr>
                <w:sz w:val="9"/>
                <w:szCs w:val="9"/>
                <w:color w:val="auto"/>
              </w:rPr>
            </w:pPr>
          </w:p>
        </w:tc>
      </w:tr>
    </w:tbl>
    <w:p>
      <w:pPr>
        <w:spacing w:after="0" w:line="94" w:lineRule="exact"/>
        <w:rPr>
          <w:sz w:val="20"/>
          <w:szCs w:val="20"/>
          <w:color w:val="auto"/>
        </w:rPr>
      </w:pPr>
    </w:p>
    <w:p>
      <w:pPr>
        <w:ind w:left="320" w:hanging="317"/>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Total number of shares purchased.</w:t>
      </w:r>
    </w:p>
    <w:p>
      <w:pPr>
        <w:spacing w:after="0" w:line="23" w:lineRule="exact"/>
        <w:rPr>
          <w:rFonts w:ascii="Arial" w:cs="Arial" w:eastAsia="Arial" w:hAnsi="Arial"/>
          <w:sz w:val="18"/>
          <w:szCs w:val="18"/>
          <w:color w:val="auto"/>
        </w:rPr>
      </w:pPr>
    </w:p>
    <w:p>
      <w:pPr>
        <w:ind w:left="320" w:hanging="317"/>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Average price paid per share.</w:t>
      </w:r>
    </w:p>
    <w:p>
      <w:pPr>
        <w:spacing w:after="0" w:line="9" w:lineRule="exact"/>
        <w:rPr>
          <w:rFonts w:ascii="Arial" w:cs="Arial" w:eastAsia="Arial" w:hAnsi="Arial"/>
          <w:sz w:val="18"/>
          <w:szCs w:val="18"/>
          <w:color w:val="auto"/>
        </w:rPr>
      </w:pPr>
    </w:p>
    <w:p>
      <w:pPr>
        <w:ind w:left="320" w:hanging="317"/>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Total number of shares purchased as part of publicly announced plans or programs.</w:t>
      </w:r>
    </w:p>
    <w:p>
      <w:pPr>
        <w:spacing w:after="0" w:line="9" w:lineRule="exact"/>
        <w:rPr>
          <w:rFonts w:ascii="Arial" w:cs="Arial" w:eastAsia="Arial" w:hAnsi="Arial"/>
          <w:sz w:val="18"/>
          <w:szCs w:val="18"/>
          <w:color w:val="auto"/>
        </w:rPr>
      </w:pPr>
    </w:p>
    <w:p>
      <w:pPr>
        <w:ind w:left="320" w:hanging="317"/>
        <w:spacing w:after="0"/>
        <w:tabs>
          <w:tab w:leader="none" w:pos="32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Maximum number of shares that may yet be purchased under the plans or programs.</w:t>
      </w:r>
    </w:p>
    <w:p>
      <w:pPr>
        <w:spacing w:after="0" w:line="211" w:lineRule="exact"/>
        <w:rPr>
          <w:sz w:val="20"/>
          <w:szCs w:val="20"/>
          <w:color w:val="auto"/>
        </w:rPr>
      </w:pPr>
    </w:p>
    <w:p>
      <w:pPr>
        <w:ind w:right="140" w:firstLine="648"/>
        <w:spacing w:after="0" w:line="279" w:lineRule="auto"/>
        <w:rPr>
          <w:sz w:val="20"/>
          <w:szCs w:val="20"/>
          <w:color w:val="auto"/>
        </w:rPr>
      </w:pPr>
      <w:r>
        <w:rPr>
          <w:rFonts w:ascii="Arial" w:cs="Arial" w:eastAsia="Arial" w:hAnsi="Arial"/>
          <w:sz w:val="17"/>
          <w:szCs w:val="17"/>
          <w:color w:val="auto"/>
        </w:rPr>
        <w:t>On November 14, 2001, the Board of Directors approved a share repurchase program (which succeeded a previous program) allowing us to repurchase up to 2.5 million shares of our common stock. On October 14, 2011, our Board authorized an additional 2 million shares to be repurchased under our share repurchase program. The total number of remaining shares that may be repurchased under the program is approximately 2.7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r>
        <w:rPr>
          <w:rFonts w:ascii="Arial" w:cs="Arial" w:eastAsia="Arial" w:hAnsi="Arial"/>
          <w:sz w:val="18"/>
          <w:szCs w:val="18"/>
          <w:b w:val="1"/>
          <w:bCs w:val="1"/>
          <w:color w:val="auto"/>
        </w:rPr>
        <w:t>.</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r>
        <w:rPr>
          <w:rFonts w:ascii="Arial" w:cs="Arial" w:eastAsia="Arial" w:hAnsi="Arial"/>
          <w:sz w:val="18"/>
          <w:szCs w:val="18"/>
          <w:b w:val="1"/>
          <w:bCs w:val="1"/>
          <w:color w:val="auto"/>
        </w:rPr>
        <w:t>.</w:t>
      </w:r>
    </w:p>
    <w:p>
      <w:pPr>
        <w:spacing w:after="0" w:line="229" w:lineRule="exact"/>
        <w:rPr>
          <w:sz w:val="20"/>
          <w:szCs w:val="20"/>
          <w:color w:val="auto"/>
        </w:rPr>
      </w:pPr>
    </w:p>
    <w:p>
      <w:pPr>
        <w:ind w:left="500" w:right="119"/>
        <w:spacing w:after="0" w:line="277" w:lineRule="auto"/>
        <w:rPr>
          <w:sz w:val="20"/>
          <w:szCs w:val="20"/>
          <w:color w:val="auto"/>
        </w:rPr>
      </w:pPr>
      <w:r>
        <w:rPr>
          <w:rFonts w:ascii="Arial" w:cs="Arial" w:eastAsia="Arial" w:hAnsi="Arial"/>
          <w:sz w:val="18"/>
          <w:szCs w:val="18"/>
          <w:color w:val="auto"/>
        </w:rPr>
        <w:t>The following exhibits (listed by number corresponding to the Exhibit Table as Item 601 in Regulation S-K) are filed with this report:</w:t>
      </w:r>
    </w:p>
    <w:p>
      <w:pPr>
        <w:spacing w:after="0" w:line="184" w:lineRule="exact"/>
        <w:rPr>
          <w:sz w:val="20"/>
          <w:szCs w:val="20"/>
          <w:color w:val="auto"/>
        </w:rPr>
      </w:pPr>
    </w:p>
    <w:p>
      <w:pPr>
        <w:ind w:left="520" w:hanging="517"/>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1100" w:right="39" w:hanging="584"/>
        <w:spacing w:after="0" w:line="277" w:lineRule="auto"/>
        <w:tabs>
          <w:tab w:leader="none" w:pos="1100"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0000EE"/>
        </w:rPr>
        <w:t>Certificate of the Chief Executive Officer of Universal Forest Products, Inc., pursuant to Section 302 of the Sarbanes-Oxley Act of 2002 (18 U.S.C. 1350).</w:t>
      </w:r>
    </w:p>
    <w:p>
      <w:pPr>
        <w:spacing w:after="0" w:line="170" w:lineRule="exact"/>
        <w:rPr>
          <w:rFonts w:ascii="Arial" w:cs="Arial" w:eastAsia="Arial" w:hAnsi="Arial"/>
          <w:sz w:val="18"/>
          <w:szCs w:val="18"/>
          <w:color w:val="auto"/>
        </w:rPr>
      </w:pPr>
    </w:p>
    <w:p>
      <w:pPr>
        <w:ind w:left="1100" w:right="39" w:hanging="584"/>
        <w:spacing w:after="0" w:line="277" w:lineRule="auto"/>
        <w:tabs>
          <w:tab w:leader="none" w:pos="1100"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0000EE"/>
        </w:rPr>
        <w:t>Certificate of the Chief Financial Officer of Universal Forest Products, Inc., pursuant to Section 302 of the Sarbanes-Oxley Act of 2002 (18 U.S.C. 1350).</w:t>
      </w:r>
    </w:p>
    <w:p>
      <w:pPr>
        <w:spacing w:after="0" w:line="170" w:lineRule="exact"/>
        <w:rPr>
          <w:rFonts w:ascii="Arial" w:cs="Arial" w:eastAsia="Arial" w:hAnsi="Arial"/>
          <w:sz w:val="18"/>
          <w:szCs w:val="18"/>
          <w:color w:val="auto"/>
        </w:rPr>
      </w:pPr>
    </w:p>
    <w:p>
      <w:pPr>
        <w:ind w:left="520" w:hanging="517"/>
        <w:spacing w:after="0"/>
        <w:tabs>
          <w:tab w:leader="none" w:pos="5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Certifications.</w:t>
      </w:r>
    </w:p>
    <w:p>
      <w:pPr>
        <w:spacing w:after="0" w:line="225" w:lineRule="exact"/>
        <w:rPr>
          <w:rFonts w:ascii="Arial" w:cs="Arial" w:eastAsia="Arial" w:hAnsi="Arial"/>
          <w:sz w:val="18"/>
          <w:szCs w:val="18"/>
          <w:color w:val="auto"/>
        </w:rPr>
      </w:pPr>
    </w:p>
    <w:p>
      <w:pPr>
        <w:ind w:left="1100" w:right="39" w:hanging="584"/>
        <w:spacing w:after="0" w:line="277" w:lineRule="auto"/>
        <w:tabs>
          <w:tab w:leader="none" w:pos="1100"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0000EE"/>
        </w:rPr>
        <w:t>Certificate of the Chief Executive Officer of Universal Forest Products, Inc., pursuant to Section 906 of the Sarbanes-Oxley Act of 2002 (18 U.S.C. 1350).</w:t>
      </w:r>
    </w:p>
    <w:p>
      <w:pPr>
        <w:spacing w:after="0" w:line="170" w:lineRule="exact"/>
        <w:rPr>
          <w:rFonts w:ascii="Arial" w:cs="Arial" w:eastAsia="Arial" w:hAnsi="Arial"/>
          <w:sz w:val="18"/>
          <w:szCs w:val="18"/>
          <w:color w:val="auto"/>
        </w:rPr>
      </w:pPr>
    </w:p>
    <w:p>
      <w:pPr>
        <w:ind w:left="1100" w:right="39" w:hanging="584"/>
        <w:spacing w:after="0" w:line="277" w:lineRule="auto"/>
        <w:tabs>
          <w:tab w:leader="none" w:pos="1100" w:val="left"/>
        </w:tabs>
        <w:numPr>
          <w:ilvl w:val="1"/>
          <w:numId w:val="23"/>
        </w:numPr>
        <w:rPr>
          <w:rFonts w:ascii="Arial" w:cs="Arial" w:eastAsia="Arial" w:hAnsi="Arial"/>
          <w:sz w:val="18"/>
          <w:szCs w:val="18"/>
          <w:color w:val="auto"/>
        </w:rPr>
      </w:pPr>
      <w:r>
        <w:rPr>
          <w:rFonts w:ascii="Arial" w:cs="Arial" w:eastAsia="Arial" w:hAnsi="Arial"/>
          <w:sz w:val="18"/>
          <w:szCs w:val="18"/>
          <w:u w:val="single" w:color="auto"/>
          <w:color w:val="0000EE"/>
        </w:rPr>
        <w:t>Certificate of the Chief Financial Officer of Universal Forest Products, Inc., pursuant to Section 906 of the Sarbanes-Oxley Act of 2002 (18 U.S.C. 1350).</w:t>
      </w:r>
    </w:p>
    <w:p>
      <w:pPr>
        <w:spacing w:after="0" w:line="170"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101</w:t>
        <w:tab/>
        <w:t>Interactive Data File.</w:t>
      </w:r>
    </w:p>
    <w:p>
      <w:pPr>
        <w:spacing w:after="0" w:line="225" w:lineRule="exact"/>
        <w:rPr>
          <w:sz w:val="20"/>
          <w:szCs w:val="20"/>
          <w:color w:val="auto"/>
        </w:rPr>
      </w:pPr>
    </w:p>
    <w:p>
      <w:pPr>
        <w:ind w:left="520"/>
        <w:spacing w:after="0"/>
        <w:tabs>
          <w:tab w:leader="none" w:pos="1080" w:val="left"/>
        </w:tabs>
        <w:rPr>
          <w:sz w:val="20"/>
          <w:szCs w:val="20"/>
          <w:color w:val="auto"/>
        </w:rPr>
      </w:pPr>
      <w:r>
        <w:rPr>
          <w:rFonts w:ascii="Arial" w:cs="Arial" w:eastAsia="Arial" w:hAnsi="Arial"/>
          <w:sz w:val="18"/>
          <w:szCs w:val="18"/>
          <w:color w:val="auto"/>
        </w:rPr>
        <w:t>(INS)</w:t>
      </w:r>
      <w:r>
        <w:rPr>
          <w:sz w:val="20"/>
          <w:szCs w:val="20"/>
          <w:color w:val="auto"/>
        </w:rPr>
        <w:tab/>
      </w:r>
      <w:r>
        <w:rPr>
          <w:rFonts w:ascii="Arial" w:cs="Arial" w:eastAsia="Arial" w:hAnsi="Arial"/>
          <w:sz w:val="16"/>
          <w:szCs w:val="16"/>
          <w:color w:val="auto"/>
        </w:rPr>
        <w:t>XBRL Instance Document.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(SCH) XBRL Schema Document.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(CAL) XBRL Taxonomy Extension Calculation Linkbase Document.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(LAB) XBRL Taxonomy Extension Label Linkbase Document.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(PRE)  XBRL Taxonomy Extension Presentation Linkbase Document.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(DEF)  XBRL Taxonomy Extension Definition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144081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408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5120" w:type="dxa"/>
            <w:vAlign w:val="bottom"/>
            <w:gridSpan w:val="2"/>
          </w:tcPr>
          <w:p>
            <w:pPr>
              <w:ind w:left="500"/>
              <w:spacing w:after="0"/>
              <w:rPr>
                <w:sz w:val="20"/>
                <w:szCs w:val="20"/>
                <w:color w:val="auto"/>
              </w:rPr>
            </w:pPr>
            <w:r>
              <w:rPr>
                <w:rFonts w:ascii="Arial" w:cs="Arial" w:eastAsia="Arial" w:hAnsi="Arial"/>
                <w:sz w:val="18"/>
                <w:szCs w:val="18"/>
                <w:b w:val="1"/>
                <w:bCs w:val="1"/>
                <w:color w:val="auto"/>
              </w:rPr>
              <w:t>UNIVERSAL FOREST PRODUCTS, INC.</w:t>
            </w:r>
          </w:p>
        </w:tc>
      </w:tr>
      <w:tr>
        <w:trPr>
          <w:trHeight w:val="432"/>
        </w:trPr>
        <w:tc>
          <w:tcPr>
            <w:tcW w:w="3940" w:type="dxa"/>
            <w:vAlign w:val="bottom"/>
          </w:tcPr>
          <w:p>
            <w:pPr>
              <w:spacing w:after="0"/>
              <w:rPr>
                <w:sz w:val="20"/>
                <w:szCs w:val="20"/>
                <w:color w:val="auto"/>
              </w:rPr>
            </w:pPr>
            <w:r>
              <w:rPr>
                <w:rFonts w:ascii="Arial" w:cs="Arial" w:eastAsia="Arial" w:hAnsi="Arial"/>
                <w:sz w:val="18"/>
                <w:szCs w:val="18"/>
                <w:color w:val="auto"/>
              </w:rPr>
              <w:t>Date: May 2, 2018</w:t>
            </w:r>
          </w:p>
        </w:tc>
        <w:tc>
          <w:tcPr>
            <w:tcW w:w="5120" w:type="dxa"/>
            <w:vAlign w:val="bottom"/>
            <w:gridSpan w:val="2"/>
          </w:tcPr>
          <w:p>
            <w:pPr>
              <w:ind w:left="500"/>
              <w:spacing w:after="0"/>
              <w:rPr>
                <w:sz w:val="20"/>
                <w:szCs w:val="20"/>
                <w:color w:val="auto"/>
              </w:rPr>
            </w:pPr>
            <w:r>
              <w:rPr>
                <w:rFonts w:ascii="Arial" w:cs="Arial" w:eastAsia="Arial" w:hAnsi="Arial"/>
                <w:sz w:val="18"/>
                <w:szCs w:val="18"/>
                <w:color w:val="auto"/>
              </w:rPr>
              <w:t>By: /s/ Matthew J. Missad</w:t>
            </w:r>
          </w:p>
        </w:tc>
      </w:tr>
      <w:tr>
        <w:trPr>
          <w:trHeight w:val="27"/>
        </w:trPr>
        <w:tc>
          <w:tcPr>
            <w:tcW w:w="394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4260" w:type="dxa"/>
            <w:vAlign w:val="bottom"/>
            <w:shd w:val="clear" w:color="auto" w:fill="000000"/>
          </w:tcPr>
          <w:p>
            <w:pPr>
              <w:spacing w:after="0"/>
              <w:rPr>
                <w:sz w:val="2"/>
                <w:szCs w:val="2"/>
                <w:color w:val="auto"/>
              </w:rPr>
            </w:pPr>
          </w:p>
        </w:tc>
      </w:tr>
      <w:tr>
        <w:trPr>
          <w:trHeight w:val="188"/>
        </w:trPr>
        <w:tc>
          <w:tcPr>
            <w:tcW w:w="3940" w:type="dxa"/>
            <w:vAlign w:val="bottom"/>
          </w:tcPr>
          <w:p>
            <w:pPr>
              <w:spacing w:after="0"/>
              <w:rPr>
                <w:sz w:val="16"/>
                <w:szCs w:val="16"/>
                <w:color w:val="auto"/>
              </w:rPr>
            </w:pPr>
          </w:p>
        </w:tc>
        <w:tc>
          <w:tcPr>
            <w:tcW w:w="5120" w:type="dxa"/>
            <w:vAlign w:val="bottom"/>
            <w:gridSpan w:val="2"/>
          </w:tcPr>
          <w:p>
            <w:pPr>
              <w:ind w:left="500"/>
              <w:spacing w:after="0" w:line="189" w:lineRule="exact"/>
              <w:rPr>
                <w:sz w:val="20"/>
                <w:szCs w:val="20"/>
                <w:color w:val="auto"/>
              </w:rPr>
            </w:pPr>
            <w:r>
              <w:rPr>
                <w:rFonts w:ascii="Arial" w:cs="Arial" w:eastAsia="Arial" w:hAnsi="Arial"/>
                <w:sz w:val="18"/>
                <w:szCs w:val="18"/>
                <w:color w:val="auto"/>
              </w:rPr>
              <w:t>Matthew J. Missad,</w:t>
            </w:r>
          </w:p>
        </w:tc>
      </w:tr>
      <w:tr>
        <w:trPr>
          <w:trHeight w:val="230"/>
        </w:trPr>
        <w:tc>
          <w:tcPr>
            <w:tcW w:w="3940" w:type="dxa"/>
            <w:vAlign w:val="bottom"/>
          </w:tcPr>
          <w:p>
            <w:pPr>
              <w:spacing w:after="0"/>
              <w:rPr>
                <w:sz w:val="20"/>
                <w:szCs w:val="20"/>
                <w:color w:val="auto"/>
              </w:rPr>
            </w:pPr>
          </w:p>
        </w:tc>
        <w:tc>
          <w:tcPr>
            <w:tcW w:w="5120" w:type="dxa"/>
            <w:vAlign w:val="bottom"/>
            <w:gridSpan w:val="2"/>
          </w:tcPr>
          <w:p>
            <w:pPr>
              <w:ind w:left="500"/>
              <w:spacing w:after="0"/>
              <w:rPr>
                <w:sz w:val="20"/>
                <w:szCs w:val="20"/>
                <w:color w:val="auto"/>
              </w:rPr>
            </w:pPr>
            <w:r>
              <w:rPr>
                <w:rFonts w:ascii="Arial" w:cs="Arial" w:eastAsia="Arial" w:hAnsi="Arial"/>
                <w:sz w:val="18"/>
                <w:szCs w:val="18"/>
                <w:color w:val="auto"/>
              </w:rPr>
              <w:t>Chief Executive Officer and Principal Executive Officer</w:t>
            </w:r>
          </w:p>
        </w:tc>
      </w:tr>
      <w:tr>
        <w:trPr>
          <w:trHeight w:val="648"/>
        </w:trPr>
        <w:tc>
          <w:tcPr>
            <w:tcW w:w="3940" w:type="dxa"/>
            <w:vAlign w:val="bottom"/>
          </w:tcPr>
          <w:p>
            <w:pPr>
              <w:spacing w:after="0"/>
              <w:rPr>
                <w:sz w:val="20"/>
                <w:szCs w:val="20"/>
                <w:color w:val="auto"/>
              </w:rPr>
            </w:pPr>
            <w:r>
              <w:rPr>
                <w:rFonts w:ascii="Arial" w:cs="Arial" w:eastAsia="Arial" w:hAnsi="Arial"/>
                <w:sz w:val="18"/>
                <w:szCs w:val="18"/>
                <w:color w:val="auto"/>
              </w:rPr>
              <w:t>Date: May 2, 2018</w:t>
            </w:r>
          </w:p>
        </w:tc>
        <w:tc>
          <w:tcPr>
            <w:tcW w:w="5120" w:type="dxa"/>
            <w:vAlign w:val="bottom"/>
            <w:gridSpan w:val="2"/>
          </w:tcPr>
          <w:p>
            <w:pPr>
              <w:ind w:left="500"/>
              <w:spacing w:after="0"/>
              <w:rPr>
                <w:sz w:val="20"/>
                <w:szCs w:val="20"/>
                <w:color w:val="auto"/>
              </w:rPr>
            </w:pPr>
            <w:r>
              <w:rPr>
                <w:rFonts w:ascii="Arial" w:cs="Arial" w:eastAsia="Arial" w:hAnsi="Arial"/>
                <w:sz w:val="18"/>
                <w:szCs w:val="18"/>
                <w:color w:val="auto"/>
              </w:rPr>
              <w:t>By: /s/ Michael R. Cole</w:t>
            </w:r>
          </w:p>
        </w:tc>
      </w:tr>
      <w:tr>
        <w:trPr>
          <w:trHeight w:val="27"/>
        </w:trPr>
        <w:tc>
          <w:tcPr>
            <w:tcW w:w="394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4260" w:type="dxa"/>
            <w:vAlign w:val="bottom"/>
            <w:shd w:val="clear" w:color="auto" w:fill="000000"/>
          </w:tcPr>
          <w:p>
            <w:pPr>
              <w:spacing w:after="0"/>
              <w:rPr>
                <w:sz w:val="2"/>
                <w:szCs w:val="2"/>
                <w:color w:val="auto"/>
              </w:rPr>
            </w:pPr>
          </w:p>
        </w:tc>
      </w:tr>
      <w:tr>
        <w:trPr>
          <w:trHeight w:val="188"/>
        </w:trPr>
        <w:tc>
          <w:tcPr>
            <w:tcW w:w="3940" w:type="dxa"/>
            <w:vAlign w:val="bottom"/>
          </w:tcPr>
          <w:p>
            <w:pPr>
              <w:spacing w:after="0"/>
              <w:rPr>
                <w:sz w:val="16"/>
                <w:szCs w:val="16"/>
                <w:color w:val="auto"/>
              </w:rPr>
            </w:pPr>
          </w:p>
        </w:tc>
        <w:tc>
          <w:tcPr>
            <w:tcW w:w="5120" w:type="dxa"/>
            <w:vAlign w:val="bottom"/>
            <w:gridSpan w:val="2"/>
          </w:tcPr>
          <w:p>
            <w:pPr>
              <w:ind w:left="500"/>
              <w:spacing w:after="0" w:line="189" w:lineRule="exact"/>
              <w:rPr>
                <w:sz w:val="20"/>
                <w:szCs w:val="20"/>
                <w:color w:val="auto"/>
              </w:rPr>
            </w:pPr>
            <w:r>
              <w:rPr>
                <w:rFonts w:ascii="Arial" w:cs="Arial" w:eastAsia="Arial" w:hAnsi="Arial"/>
                <w:sz w:val="18"/>
                <w:szCs w:val="18"/>
                <w:color w:val="auto"/>
              </w:rPr>
              <w:t>Michael R. Cole,</w:t>
            </w:r>
          </w:p>
        </w:tc>
      </w:tr>
      <w:tr>
        <w:trPr>
          <w:trHeight w:val="216"/>
        </w:trPr>
        <w:tc>
          <w:tcPr>
            <w:tcW w:w="3940" w:type="dxa"/>
            <w:vAlign w:val="bottom"/>
          </w:tcPr>
          <w:p>
            <w:pPr>
              <w:spacing w:after="0"/>
              <w:rPr>
                <w:sz w:val="18"/>
                <w:szCs w:val="18"/>
                <w:color w:val="auto"/>
              </w:rPr>
            </w:pPr>
          </w:p>
        </w:tc>
        <w:tc>
          <w:tcPr>
            <w:tcW w:w="5120" w:type="dxa"/>
            <w:vAlign w:val="bottom"/>
            <w:gridSpan w:val="2"/>
          </w:tcPr>
          <w:p>
            <w:pPr>
              <w:ind w:left="500"/>
              <w:spacing w:after="0"/>
              <w:rPr>
                <w:sz w:val="20"/>
                <w:szCs w:val="20"/>
                <w:color w:val="auto"/>
              </w:rPr>
            </w:pPr>
            <w:r>
              <w:rPr>
                <w:rFonts w:ascii="Arial" w:cs="Arial" w:eastAsia="Arial" w:hAnsi="Arial"/>
                <w:sz w:val="18"/>
                <w:szCs w:val="18"/>
                <w:color w:val="auto"/>
              </w:rPr>
              <w:t>Chief Financial Officer,</w:t>
            </w:r>
          </w:p>
        </w:tc>
      </w:tr>
      <w:tr>
        <w:trPr>
          <w:trHeight w:val="216"/>
        </w:trPr>
        <w:tc>
          <w:tcPr>
            <w:tcW w:w="3940" w:type="dxa"/>
            <w:vAlign w:val="bottom"/>
          </w:tcPr>
          <w:p>
            <w:pPr>
              <w:spacing w:after="0"/>
              <w:rPr>
                <w:sz w:val="18"/>
                <w:szCs w:val="18"/>
                <w:color w:val="auto"/>
              </w:rPr>
            </w:pPr>
          </w:p>
        </w:tc>
        <w:tc>
          <w:tcPr>
            <w:tcW w:w="5120" w:type="dxa"/>
            <w:vAlign w:val="bottom"/>
            <w:gridSpan w:val="2"/>
          </w:tcPr>
          <w:p>
            <w:pPr>
              <w:ind w:left="500"/>
              <w:spacing w:after="0"/>
              <w:rPr>
                <w:sz w:val="20"/>
                <w:szCs w:val="20"/>
                <w:color w:val="auto"/>
              </w:rPr>
            </w:pPr>
            <w:r>
              <w:rPr>
                <w:rFonts w:ascii="Arial" w:cs="Arial" w:eastAsia="Arial" w:hAnsi="Arial"/>
                <w:sz w:val="18"/>
                <w:szCs w:val="18"/>
                <w:color w:val="auto"/>
              </w:rPr>
              <w:t>Principal Financial Officer and</w:t>
            </w:r>
          </w:p>
        </w:tc>
      </w:tr>
      <w:tr>
        <w:trPr>
          <w:trHeight w:val="230"/>
        </w:trPr>
        <w:tc>
          <w:tcPr>
            <w:tcW w:w="3940" w:type="dxa"/>
            <w:vAlign w:val="bottom"/>
          </w:tcPr>
          <w:p>
            <w:pPr>
              <w:spacing w:after="0"/>
              <w:rPr>
                <w:sz w:val="20"/>
                <w:szCs w:val="20"/>
                <w:color w:val="auto"/>
              </w:rPr>
            </w:pPr>
          </w:p>
        </w:tc>
        <w:tc>
          <w:tcPr>
            <w:tcW w:w="5120" w:type="dxa"/>
            <w:vAlign w:val="bottom"/>
            <w:gridSpan w:val="2"/>
          </w:tcPr>
          <w:p>
            <w:pPr>
              <w:ind w:left="500"/>
              <w:spacing w:after="0"/>
              <w:rPr>
                <w:sz w:val="20"/>
                <w:szCs w:val="20"/>
                <w:color w:val="auto"/>
              </w:rPr>
            </w:pPr>
            <w:r>
              <w:rPr>
                <w:rFonts w:ascii="Arial" w:cs="Arial" w:eastAsia="Arial" w:hAnsi="Arial"/>
                <w:sz w:val="18"/>
                <w:szCs w:val="18"/>
                <w:color w:val="auto"/>
              </w:rPr>
              <w:t>Principal Accounting Officer</w:t>
            </w:r>
          </w:p>
        </w:tc>
      </w:tr>
      <w:tr>
        <w:trPr>
          <w:trHeight w:val="662"/>
        </w:trPr>
        <w:tc>
          <w:tcPr>
            <w:tcW w:w="3940" w:type="dxa"/>
            <w:vAlign w:val="bottom"/>
          </w:tcPr>
          <w:p>
            <w:pPr>
              <w:spacing w:after="0"/>
              <w:rPr>
                <w:sz w:val="24"/>
                <w:szCs w:val="24"/>
                <w:color w:val="auto"/>
              </w:rPr>
            </w:pPr>
          </w:p>
        </w:tc>
        <w:tc>
          <w:tcPr>
            <w:tcW w:w="860" w:type="dxa"/>
            <w:vAlign w:val="bottom"/>
          </w:tcPr>
          <w:p>
            <w:pPr>
              <w:ind w:left="500"/>
              <w:spacing w:after="0"/>
              <w:rPr>
                <w:sz w:val="20"/>
                <w:szCs w:val="20"/>
                <w:color w:val="auto"/>
              </w:rPr>
            </w:pPr>
            <w:r>
              <w:rPr>
                <w:rFonts w:ascii="Arial" w:cs="Arial" w:eastAsia="Arial" w:hAnsi="Arial"/>
                <w:sz w:val="18"/>
                <w:szCs w:val="18"/>
                <w:color w:val="auto"/>
              </w:rPr>
              <w:t>29</w:t>
            </w:r>
          </w:p>
        </w:tc>
        <w:tc>
          <w:tcPr>
            <w:tcW w:w="4260" w:type="dxa"/>
            <w:vAlign w:val="bottom"/>
          </w:tcPr>
          <w:p>
            <w:pPr>
              <w:spacing w:after="0"/>
              <w:rPr>
                <w:sz w:val="24"/>
                <w:szCs w:val="24"/>
                <w:color w:val="auto"/>
              </w:rPr>
            </w:pPr>
          </w:p>
        </w:tc>
      </w:tr>
      <w:tr>
        <w:trPr>
          <w:trHeight w:val="129"/>
        </w:trPr>
        <w:tc>
          <w:tcPr>
            <w:tcW w:w="39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26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b w:val="1"/>
          <w:bCs w:val="1"/>
          <w:color w:val="auto"/>
        </w:rPr>
        <w:t>Exhibit 31(a)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Matthew J. Missad, certify that:</w:t>
      </w:r>
    </w:p>
    <w:p>
      <w:pPr>
        <w:spacing w:after="0" w:line="225" w:lineRule="exact"/>
        <w:rPr>
          <w:sz w:val="20"/>
          <w:szCs w:val="20"/>
          <w:color w:val="auto"/>
        </w:rPr>
      </w:pPr>
    </w:p>
    <w:p>
      <w:pPr>
        <w:ind w:left="480" w:hanging="477"/>
        <w:spacing w:after="0" w:line="207" w:lineRule="exact"/>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report on Form 10</w:t>
      </w:r>
      <w:r>
        <w:rPr>
          <w:rFonts w:ascii="MS PGothic" w:cs="MS PGothic" w:eastAsia="MS PGothic" w:hAnsi="MS PGothic"/>
          <w:sz w:val="18"/>
          <w:szCs w:val="18"/>
          <w:color w:val="auto"/>
        </w:rPr>
        <w:t>‑</w:t>
      </w:r>
      <w:r>
        <w:rPr>
          <w:rFonts w:ascii="Arial" w:cs="Arial" w:eastAsia="Arial" w:hAnsi="Arial"/>
          <w:sz w:val="18"/>
          <w:szCs w:val="18"/>
          <w:color w:val="auto"/>
        </w:rPr>
        <w:t>Q of Universal Forest Products, Inc.;</w:t>
      </w:r>
    </w:p>
    <w:p>
      <w:pPr>
        <w:spacing w:after="0" w:line="225" w:lineRule="exact"/>
        <w:rPr>
          <w:rFonts w:ascii="Arial" w:cs="Arial" w:eastAsia="Arial" w:hAnsi="Arial"/>
          <w:sz w:val="18"/>
          <w:szCs w:val="18"/>
          <w:color w:val="auto"/>
        </w:rPr>
      </w:pPr>
    </w:p>
    <w:p>
      <w:pPr>
        <w:jc w:val="both"/>
        <w:ind w:left="480" w:hanging="477"/>
        <w:spacing w:after="0" w:line="264" w:lineRule="auto"/>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480" w:hanging="477"/>
        <w:spacing w:after="0" w:line="264" w:lineRule="auto"/>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jc w:val="both"/>
        <w:ind w:left="480" w:hanging="477"/>
        <w:spacing w:after="0" w:line="221" w:lineRule="exact"/>
        <w:tabs>
          <w:tab w:leader="none" w:pos="4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 15d</w:t>
      </w:r>
      <w:r>
        <w:rPr>
          <w:rFonts w:ascii="MS PGothic" w:cs="MS PGothic" w:eastAsia="MS PGothic" w:hAnsi="MS PGothic"/>
          <w:sz w:val="17"/>
          <w:szCs w:val="17"/>
          <w:color w:val="auto"/>
        </w:rPr>
        <w:t>‑</w:t>
      </w:r>
      <w:r>
        <w:rPr>
          <w:rFonts w:ascii="Arial" w:cs="Arial" w:eastAsia="Arial" w:hAnsi="Arial"/>
          <w:sz w:val="17"/>
          <w:szCs w:val="17"/>
          <w:color w:val="auto"/>
        </w:rPr>
        <w:t>15(f)) for the registrant and have:</w:t>
      </w:r>
    </w:p>
    <w:p>
      <w:pPr>
        <w:spacing w:after="0" w:line="202" w:lineRule="exact"/>
        <w:rPr>
          <w:rFonts w:ascii="Arial" w:cs="Arial" w:eastAsia="Arial" w:hAnsi="Arial"/>
          <w:sz w:val="17"/>
          <w:szCs w:val="17"/>
          <w:color w:val="auto"/>
        </w:rPr>
      </w:pPr>
    </w:p>
    <w:p>
      <w:pPr>
        <w:jc w:val="both"/>
        <w:ind w:left="820" w:hanging="331"/>
        <w:spacing w:after="0" w:line="259" w:lineRule="auto"/>
        <w:tabs>
          <w:tab w:leader="none" w:pos="8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820" w:hanging="331"/>
        <w:spacing w:after="0" w:line="259" w:lineRule="auto"/>
        <w:tabs>
          <w:tab w:leader="none" w:pos="8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820" w:hanging="331"/>
        <w:spacing w:after="0" w:line="264" w:lineRule="auto"/>
        <w:tabs>
          <w:tab w:leader="none" w:pos="8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820" w:hanging="331"/>
        <w:spacing w:after="0" w:line="259" w:lineRule="auto"/>
        <w:tabs>
          <w:tab w:leader="none" w:pos="8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480" w:hanging="477"/>
        <w:spacing w:after="0" w:line="264" w:lineRule="auto"/>
        <w:tabs>
          <w:tab w:leader="none" w:pos="4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81" w:lineRule="exact"/>
        <w:rPr>
          <w:rFonts w:ascii="Arial" w:cs="Arial" w:eastAsia="Arial" w:hAnsi="Arial"/>
          <w:sz w:val="18"/>
          <w:szCs w:val="18"/>
          <w:color w:val="auto"/>
        </w:rPr>
      </w:pPr>
    </w:p>
    <w:p>
      <w:pPr>
        <w:jc w:val="both"/>
        <w:ind w:left="820" w:hanging="331"/>
        <w:spacing w:after="0" w:line="264" w:lineRule="auto"/>
        <w:tabs>
          <w:tab w:leader="none" w:pos="8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820" w:hanging="331"/>
        <w:spacing w:after="0" w:line="277" w:lineRule="auto"/>
        <w:tabs>
          <w:tab w:leader="none" w:pos="820"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3"/>
          </w:tcPr>
          <w:p>
            <w:pPr>
              <w:spacing w:after="0"/>
              <w:rPr>
                <w:sz w:val="20"/>
                <w:szCs w:val="20"/>
                <w:color w:val="auto"/>
              </w:rPr>
            </w:pPr>
            <w:r>
              <w:rPr>
                <w:rFonts w:ascii="Arial" w:cs="Arial" w:eastAsia="Arial" w:hAnsi="Arial"/>
                <w:sz w:val="18"/>
                <w:szCs w:val="18"/>
                <w:color w:val="auto"/>
              </w:rPr>
              <w:t>Date: May 2, 2018</w:t>
            </w:r>
          </w:p>
        </w:tc>
        <w:tc>
          <w:tcPr>
            <w:tcW w:w="4520" w:type="dxa"/>
            <w:vAlign w:val="bottom"/>
          </w:tcPr>
          <w:p>
            <w:pPr>
              <w:spacing w:after="0"/>
              <w:rPr>
                <w:sz w:val="20"/>
                <w:szCs w:val="20"/>
                <w:color w:val="auto"/>
              </w:rPr>
            </w:pPr>
            <w:r>
              <w:rPr>
                <w:rFonts w:ascii="Arial" w:cs="Arial" w:eastAsia="Arial" w:hAnsi="Arial"/>
                <w:sz w:val="18"/>
                <w:szCs w:val="18"/>
                <w:color w:val="auto"/>
              </w:rPr>
              <w:t>/s/ Matthew J. Missad</w:t>
            </w:r>
          </w:p>
        </w:tc>
      </w:tr>
      <w:tr>
        <w:trPr>
          <w:trHeight w:val="21"/>
        </w:trPr>
        <w:tc>
          <w:tcPr>
            <w:tcW w:w="44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r>
        <w:trPr>
          <w:trHeight w:val="195"/>
        </w:trPr>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Matthew J. Missad,</w:t>
            </w:r>
          </w:p>
        </w:tc>
      </w:tr>
      <w:tr>
        <w:trPr>
          <w:trHeight w:val="230"/>
        </w:trPr>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Executive Officer and Principal Executive Officer</w:t>
            </w:r>
          </w:p>
        </w:tc>
      </w:tr>
      <w:tr>
        <w:trPr>
          <w:trHeight w:val="453"/>
        </w:trPr>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30" w:name="page31"/>
    <w:bookmarkEnd w:id="30"/>
    <w:p>
      <w:pPr>
        <w:jc w:val="right"/>
        <w:spacing w:after="0"/>
        <w:rPr>
          <w:sz w:val="20"/>
          <w:szCs w:val="20"/>
          <w:color w:val="auto"/>
        </w:rPr>
      </w:pPr>
      <w:r>
        <w:rPr>
          <w:rFonts w:ascii="Arial" w:cs="Arial" w:eastAsia="Arial" w:hAnsi="Arial"/>
          <w:sz w:val="18"/>
          <w:szCs w:val="18"/>
          <w:b w:val="1"/>
          <w:bCs w:val="1"/>
          <w:color w:val="auto"/>
        </w:rPr>
        <w:t>Exhibit 31(b)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Forest Products,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Michael R. Cole, certify that:</w:t>
      </w:r>
    </w:p>
    <w:p>
      <w:pPr>
        <w:spacing w:after="0" w:line="225" w:lineRule="exact"/>
        <w:rPr>
          <w:sz w:val="20"/>
          <w:szCs w:val="20"/>
          <w:color w:val="auto"/>
        </w:rPr>
      </w:pPr>
    </w:p>
    <w:p>
      <w:pPr>
        <w:ind w:left="480" w:hanging="477"/>
        <w:spacing w:after="0" w:line="207" w:lineRule="exact"/>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report on Form 10</w:t>
      </w:r>
      <w:r>
        <w:rPr>
          <w:rFonts w:ascii="MS PGothic" w:cs="MS PGothic" w:eastAsia="MS PGothic" w:hAnsi="MS PGothic"/>
          <w:sz w:val="18"/>
          <w:szCs w:val="18"/>
          <w:color w:val="auto"/>
        </w:rPr>
        <w:t>‑</w:t>
      </w:r>
      <w:r>
        <w:rPr>
          <w:rFonts w:ascii="Arial" w:cs="Arial" w:eastAsia="Arial" w:hAnsi="Arial"/>
          <w:sz w:val="18"/>
          <w:szCs w:val="18"/>
          <w:color w:val="auto"/>
        </w:rPr>
        <w:t>Q of Universal Forest Products, Inc.;</w:t>
      </w:r>
    </w:p>
    <w:p>
      <w:pPr>
        <w:spacing w:after="0" w:line="225" w:lineRule="exact"/>
        <w:rPr>
          <w:rFonts w:ascii="Arial" w:cs="Arial" w:eastAsia="Arial" w:hAnsi="Arial"/>
          <w:sz w:val="18"/>
          <w:szCs w:val="18"/>
          <w:color w:val="auto"/>
        </w:rPr>
      </w:pPr>
    </w:p>
    <w:p>
      <w:pPr>
        <w:jc w:val="both"/>
        <w:ind w:left="480" w:hanging="477"/>
        <w:spacing w:after="0" w:line="264" w:lineRule="auto"/>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jc w:val="both"/>
        <w:ind w:left="480" w:hanging="477"/>
        <w:spacing w:after="0" w:line="264" w:lineRule="auto"/>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1" w:lineRule="exact"/>
        <w:rPr>
          <w:rFonts w:ascii="Arial" w:cs="Arial" w:eastAsia="Arial" w:hAnsi="Arial"/>
          <w:sz w:val="18"/>
          <w:szCs w:val="18"/>
          <w:color w:val="auto"/>
        </w:rPr>
      </w:pPr>
    </w:p>
    <w:p>
      <w:pPr>
        <w:jc w:val="both"/>
        <w:ind w:left="480" w:hanging="477"/>
        <w:spacing w:after="0" w:line="221" w:lineRule="exact"/>
        <w:tabs>
          <w:tab w:leader="none" w:pos="4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15(e) and 15d</w:t>
      </w:r>
      <w:r>
        <w:rPr>
          <w:rFonts w:ascii="MS PGothic" w:cs="MS PGothic" w:eastAsia="MS PGothic" w:hAnsi="MS PGothic"/>
          <w:sz w:val="17"/>
          <w:szCs w:val="17"/>
          <w:color w:val="auto"/>
        </w:rPr>
        <w:t>‑</w:t>
      </w:r>
      <w:r>
        <w:rPr>
          <w:rFonts w:ascii="Arial" w:cs="Arial" w:eastAsia="Arial" w:hAnsi="Arial"/>
          <w:sz w:val="17"/>
          <w:szCs w:val="17"/>
          <w:color w:val="auto"/>
        </w:rPr>
        <w:t>15(e)) and internal control over financial reporting (as defined in Exchange Act Rules 13a</w:t>
      </w:r>
      <w:r>
        <w:rPr>
          <w:rFonts w:ascii="MS PGothic" w:cs="MS PGothic" w:eastAsia="MS PGothic" w:hAnsi="MS PGothic"/>
          <w:sz w:val="17"/>
          <w:szCs w:val="17"/>
          <w:color w:val="auto"/>
        </w:rPr>
        <w:t>‑</w:t>
      </w:r>
      <w:r>
        <w:rPr>
          <w:rFonts w:ascii="Arial" w:cs="Arial" w:eastAsia="Arial" w:hAnsi="Arial"/>
          <w:sz w:val="17"/>
          <w:szCs w:val="17"/>
          <w:color w:val="auto"/>
        </w:rPr>
        <w:t>15(f) and 15d</w:t>
      </w:r>
      <w:r>
        <w:rPr>
          <w:rFonts w:ascii="MS PGothic" w:cs="MS PGothic" w:eastAsia="MS PGothic" w:hAnsi="MS PGothic"/>
          <w:sz w:val="17"/>
          <w:szCs w:val="17"/>
          <w:color w:val="auto"/>
        </w:rPr>
        <w:t>‑</w:t>
      </w:r>
      <w:r>
        <w:rPr>
          <w:rFonts w:ascii="Arial" w:cs="Arial" w:eastAsia="Arial" w:hAnsi="Arial"/>
          <w:sz w:val="17"/>
          <w:szCs w:val="17"/>
          <w:color w:val="auto"/>
        </w:rPr>
        <w:t>15(f)) for the registrant and have:</w:t>
      </w:r>
    </w:p>
    <w:p>
      <w:pPr>
        <w:spacing w:after="0" w:line="202" w:lineRule="exact"/>
        <w:rPr>
          <w:rFonts w:ascii="Arial" w:cs="Arial" w:eastAsia="Arial" w:hAnsi="Arial"/>
          <w:sz w:val="17"/>
          <w:szCs w:val="17"/>
          <w:color w:val="auto"/>
        </w:rPr>
      </w:pPr>
    </w:p>
    <w:p>
      <w:pPr>
        <w:jc w:val="both"/>
        <w:ind w:left="820" w:hanging="331"/>
        <w:spacing w:after="0" w:line="259" w:lineRule="auto"/>
        <w:tabs>
          <w:tab w:leader="none" w:pos="8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6" w:lineRule="exact"/>
        <w:rPr>
          <w:rFonts w:ascii="Arial" w:cs="Arial" w:eastAsia="Arial" w:hAnsi="Arial"/>
          <w:sz w:val="18"/>
          <w:szCs w:val="18"/>
          <w:color w:val="auto"/>
        </w:rPr>
      </w:pPr>
    </w:p>
    <w:p>
      <w:pPr>
        <w:jc w:val="both"/>
        <w:ind w:left="820" w:hanging="331"/>
        <w:spacing w:after="0" w:line="259" w:lineRule="auto"/>
        <w:tabs>
          <w:tab w:leader="none" w:pos="8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6" w:lineRule="exact"/>
        <w:rPr>
          <w:rFonts w:ascii="Arial" w:cs="Arial" w:eastAsia="Arial" w:hAnsi="Arial"/>
          <w:sz w:val="18"/>
          <w:szCs w:val="18"/>
          <w:color w:val="auto"/>
        </w:rPr>
      </w:pPr>
    </w:p>
    <w:p>
      <w:pPr>
        <w:jc w:val="both"/>
        <w:ind w:left="820" w:hanging="331"/>
        <w:spacing w:after="0" w:line="264" w:lineRule="auto"/>
        <w:tabs>
          <w:tab w:leader="none" w:pos="8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1" w:lineRule="exact"/>
        <w:rPr>
          <w:rFonts w:ascii="Arial" w:cs="Arial" w:eastAsia="Arial" w:hAnsi="Arial"/>
          <w:sz w:val="18"/>
          <w:szCs w:val="18"/>
          <w:color w:val="auto"/>
        </w:rPr>
      </w:pPr>
    </w:p>
    <w:p>
      <w:pPr>
        <w:jc w:val="both"/>
        <w:ind w:left="820" w:hanging="331"/>
        <w:spacing w:after="0" w:line="259" w:lineRule="auto"/>
        <w:tabs>
          <w:tab w:leader="none" w:pos="8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6" w:lineRule="exact"/>
        <w:rPr>
          <w:rFonts w:ascii="Arial" w:cs="Arial" w:eastAsia="Arial" w:hAnsi="Arial"/>
          <w:sz w:val="18"/>
          <w:szCs w:val="18"/>
          <w:color w:val="auto"/>
        </w:rPr>
      </w:pPr>
    </w:p>
    <w:p>
      <w:pPr>
        <w:jc w:val="both"/>
        <w:ind w:left="480" w:hanging="477"/>
        <w:spacing w:after="0" w:line="264" w:lineRule="auto"/>
        <w:tabs>
          <w:tab w:leader="none" w:pos="4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181" w:lineRule="exact"/>
        <w:rPr>
          <w:rFonts w:ascii="Arial" w:cs="Arial" w:eastAsia="Arial" w:hAnsi="Arial"/>
          <w:sz w:val="18"/>
          <w:szCs w:val="18"/>
          <w:color w:val="auto"/>
        </w:rPr>
      </w:pPr>
    </w:p>
    <w:p>
      <w:pPr>
        <w:jc w:val="both"/>
        <w:ind w:left="820" w:hanging="331"/>
        <w:spacing w:after="0" w:line="264" w:lineRule="auto"/>
        <w:tabs>
          <w:tab w:leader="none" w:pos="8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1" w:lineRule="exact"/>
        <w:rPr>
          <w:rFonts w:ascii="Arial" w:cs="Arial" w:eastAsia="Arial" w:hAnsi="Arial"/>
          <w:sz w:val="18"/>
          <w:szCs w:val="18"/>
          <w:color w:val="auto"/>
        </w:rPr>
      </w:pPr>
    </w:p>
    <w:p>
      <w:pPr>
        <w:ind w:left="820" w:hanging="331"/>
        <w:spacing w:after="0" w:line="277" w:lineRule="auto"/>
        <w:tabs>
          <w:tab w:leader="none" w:pos="8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40" w:type="dxa"/>
            <w:vAlign w:val="bottom"/>
            <w:gridSpan w:val="3"/>
          </w:tcPr>
          <w:p>
            <w:pPr>
              <w:spacing w:after="0"/>
              <w:rPr>
                <w:sz w:val="20"/>
                <w:szCs w:val="20"/>
                <w:color w:val="auto"/>
              </w:rPr>
            </w:pPr>
            <w:r>
              <w:rPr>
                <w:rFonts w:ascii="Arial" w:cs="Arial" w:eastAsia="Arial" w:hAnsi="Arial"/>
                <w:sz w:val="18"/>
                <w:szCs w:val="18"/>
                <w:color w:val="auto"/>
              </w:rPr>
              <w:t>Date: May 2, 2018</w:t>
            </w:r>
          </w:p>
        </w:tc>
        <w:tc>
          <w:tcPr>
            <w:tcW w:w="4520" w:type="dxa"/>
            <w:vAlign w:val="bottom"/>
          </w:tcPr>
          <w:p>
            <w:pPr>
              <w:spacing w:after="0"/>
              <w:rPr>
                <w:sz w:val="20"/>
                <w:szCs w:val="20"/>
                <w:color w:val="auto"/>
              </w:rPr>
            </w:pPr>
            <w:r>
              <w:rPr>
                <w:rFonts w:ascii="Arial" w:cs="Arial" w:eastAsia="Arial" w:hAnsi="Arial"/>
                <w:sz w:val="18"/>
                <w:szCs w:val="18"/>
                <w:color w:val="auto"/>
              </w:rPr>
              <w:t>/s/ Michael R. Cole</w:t>
            </w:r>
          </w:p>
        </w:tc>
      </w:tr>
      <w:tr>
        <w:trPr>
          <w:trHeight w:val="21"/>
        </w:trPr>
        <w:tc>
          <w:tcPr>
            <w:tcW w:w="440" w:type="dxa"/>
            <w:vAlign w:val="bottom"/>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520" w:type="dxa"/>
            <w:vAlign w:val="bottom"/>
            <w:tcBorders>
              <w:bottom w:val="single" w:sz="8" w:color="auto"/>
            </w:tcBorders>
          </w:tcPr>
          <w:p>
            <w:pPr>
              <w:spacing w:after="0" w:line="20" w:lineRule="exact"/>
              <w:rPr>
                <w:sz w:val="1"/>
                <w:szCs w:val="1"/>
                <w:color w:val="auto"/>
              </w:rPr>
            </w:pPr>
          </w:p>
        </w:tc>
      </w:tr>
      <w:tr>
        <w:trPr>
          <w:trHeight w:val="195"/>
        </w:trPr>
        <w:tc>
          <w:tcPr>
            <w:tcW w:w="4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4520" w:type="dxa"/>
            <w:vAlign w:val="bottom"/>
          </w:tcPr>
          <w:p>
            <w:pPr>
              <w:spacing w:after="0" w:line="195" w:lineRule="exact"/>
              <w:rPr>
                <w:sz w:val="20"/>
                <w:szCs w:val="20"/>
                <w:color w:val="auto"/>
              </w:rPr>
            </w:pPr>
            <w:r>
              <w:rPr>
                <w:rFonts w:ascii="Arial" w:cs="Arial" w:eastAsia="Arial" w:hAnsi="Arial"/>
                <w:sz w:val="18"/>
                <w:szCs w:val="18"/>
                <w:color w:val="auto"/>
              </w:rPr>
              <w:t>Michael R. Cole</w:t>
            </w:r>
          </w:p>
        </w:tc>
      </w:tr>
      <w:tr>
        <w:trPr>
          <w:trHeight w:val="230"/>
        </w:trPr>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Financial Officer and Principal Accounting Officer</w:t>
            </w:r>
          </w:p>
        </w:tc>
      </w:tr>
      <w:tr>
        <w:trPr>
          <w:trHeight w:val="453"/>
        </w:trPr>
        <w:tc>
          <w:tcPr>
            <w:tcW w:w="4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4520" w:type="dxa"/>
            <w:vAlign w:val="bottom"/>
            <w:tcBorders>
              <w:bottom w:val="single" w:sz="8" w:color="auto"/>
            </w:tcBorders>
          </w:tcPr>
          <w:p>
            <w:pPr>
              <w:spacing w:after="0"/>
              <w:rPr>
                <w:sz w:val="24"/>
                <w:szCs w:val="24"/>
                <w:color w:val="auto"/>
              </w:rPr>
            </w:pPr>
          </w:p>
        </w:tc>
      </w:tr>
    </w:tbl>
    <w:p>
      <w:pPr>
        <w:sectPr>
          <w:pgSz w:w="11900" w:h="16838" w:orient="portrait"/>
          <w:cols w:equalWidth="0" w:num="1">
            <w:col w:w="9060"/>
          </w:cols>
          <w:pgMar w:left="1420" w:top="121" w:right="141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32(a)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EXECUTIVE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UNIVERSAL FOREST PRODUCTS,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Matthew J. Missad, Chief Executive Officer of Universal Forest Products, Inc., certify, to the best of my knowledge and belief, pursuant to Section 906 of the Sarbanes-Oxley Act of 2002 (18 U.S.C. 1350) that:</w:t>
      </w:r>
    </w:p>
    <w:p>
      <w:pPr>
        <w:spacing w:after="0" w:line="170" w:lineRule="exact"/>
        <w:rPr>
          <w:sz w:val="20"/>
          <w:szCs w:val="20"/>
          <w:color w:val="auto"/>
        </w:rPr>
      </w:pPr>
    </w:p>
    <w:p>
      <w:pPr>
        <w:ind w:left="560" w:hanging="557"/>
        <w:spacing w:after="0" w:line="224" w:lineRule="exact"/>
        <w:tabs>
          <w:tab w:leader="none" w:pos="560" w:val="left"/>
        </w:tabs>
        <w:numPr>
          <w:ilvl w:val="0"/>
          <w:numId w:val="26"/>
        </w:numPr>
        <w:rPr>
          <w:rFonts w:ascii="Arial" w:cs="Arial" w:eastAsia="Arial" w:hAnsi="Arial"/>
          <w:sz w:val="16"/>
          <w:szCs w:val="16"/>
          <w:color w:val="auto"/>
        </w:rPr>
      </w:pPr>
      <w:r>
        <w:rPr>
          <w:rFonts w:ascii="Arial" w:cs="Arial" w:eastAsia="Arial" w:hAnsi="Arial"/>
          <w:sz w:val="16"/>
          <w:szCs w:val="16"/>
          <w:color w:val="auto"/>
        </w:rPr>
        <w:t>The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for the quarterly period ended March 31, 2018, which this statement accompanies, fully complies with requirements of Section 13(a) or 15(d) of the Securities Exchange Act of 1934; and</w:t>
      </w:r>
    </w:p>
    <w:p>
      <w:pPr>
        <w:spacing w:after="0" w:line="202" w:lineRule="exact"/>
        <w:rPr>
          <w:rFonts w:ascii="Arial" w:cs="Arial" w:eastAsia="Arial" w:hAnsi="Arial"/>
          <w:sz w:val="16"/>
          <w:szCs w:val="16"/>
          <w:color w:val="auto"/>
        </w:rPr>
      </w:pPr>
    </w:p>
    <w:p>
      <w:pPr>
        <w:ind w:left="560" w:hanging="557"/>
        <w:spacing w:after="0" w:line="196" w:lineRule="exact"/>
        <w:tabs>
          <w:tab w:leader="none" w:pos="5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information contained in this quarterly report on Form 10</w:t>
      </w:r>
      <w:r>
        <w:rPr>
          <w:rFonts w:ascii="MS PGothic" w:cs="MS PGothic" w:eastAsia="MS PGothic" w:hAnsi="MS PGothic"/>
          <w:sz w:val="17"/>
          <w:szCs w:val="17"/>
          <w:color w:val="auto"/>
        </w:rPr>
        <w:t>‑</w:t>
      </w:r>
      <w:r>
        <w:rPr>
          <w:rFonts w:ascii="Arial" w:cs="Arial" w:eastAsia="Arial" w:hAnsi="Arial"/>
          <w:sz w:val="17"/>
          <w:szCs w:val="17"/>
          <w:color w:val="auto"/>
        </w:rPr>
        <w:t>Q for the quarterly period ended March 31, 2018,</w:t>
      </w:r>
    </w:p>
    <w:p>
      <w:pPr>
        <w:spacing w:after="0" w:line="35" w:lineRule="exact"/>
        <w:rPr>
          <w:sz w:val="20"/>
          <w:szCs w:val="20"/>
          <w:color w:val="auto"/>
        </w:rPr>
      </w:pPr>
    </w:p>
    <w:p>
      <w:pPr>
        <w:ind w:left="560" w:firstLine="93"/>
        <w:spacing w:after="0" w:line="261" w:lineRule="auto"/>
        <w:rPr>
          <w:sz w:val="20"/>
          <w:szCs w:val="20"/>
          <w:color w:val="auto"/>
        </w:rPr>
      </w:pPr>
      <w:r>
        <w:rPr>
          <w:rFonts w:ascii="Arial" w:cs="Arial" w:eastAsia="Arial" w:hAnsi="Arial"/>
          <w:sz w:val="18"/>
          <w:szCs w:val="18"/>
          <w:color w:val="auto"/>
        </w:rPr>
        <w:t>fairly presents, in all material respects, the financial condition and results of operations of Universal Forest Products, Inc.</w:t>
      </w:r>
    </w:p>
    <w:p>
      <w:pPr>
        <w:spacing w:after="0" w:line="19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UNIVERSAL FOREST PRODUCTS, INC.</w:t>
      </w:r>
    </w:p>
    <w:p>
      <w:pPr>
        <w:spacing w:after="0" w:line="225"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May 2, 2018</w:t>
      </w:r>
      <w:r>
        <w:rPr>
          <w:sz w:val="20"/>
          <w:szCs w:val="20"/>
          <w:color w:val="auto"/>
        </w:rPr>
        <w:tab/>
      </w:r>
      <w:r>
        <w:rPr>
          <w:rFonts w:ascii="Arial" w:cs="Arial" w:eastAsia="Arial" w:hAnsi="Arial"/>
          <w:sz w:val="17"/>
          <w:szCs w:val="17"/>
          <w:color w:val="auto"/>
        </w:rPr>
        <w:t>By:  /s/ 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59016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Matthew J. Missad,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-130175</wp:posOffset>
            </wp:positionV>
            <wp:extent cx="28727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Executive Officer and Principal Executive Officer</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1" w:right="1419" w:bottom="1440" w:gutter="0" w:footer="0" w:header="0"/>
        </w:sectPr>
      </w:pPr>
    </w:p>
    <w:bookmarkStart w:id="32" w:name="page33"/>
    <w:bookmarkEnd w:id="32"/>
    <w:p>
      <w:pPr>
        <w:ind w:left="8060"/>
        <w:spacing w:after="0"/>
        <w:rPr>
          <w:sz w:val="20"/>
          <w:szCs w:val="20"/>
          <w:color w:val="auto"/>
        </w:rPr>
      </w:pPr>
      <w:r>
        <w:rPr>
          <w:rFonts w:ascii="Arial" w:cs="Arial" w:eastAsia="Arial" w:hAnsi="Arial"/>
          <w:sz w:val="16"/>
          <w:szCs w:val="16"/>
          <w:b w:val="1"/>
          <w:bCs w:val="1"/>
          <w:color w:val="auto"/>
        </w:rPr>
        <w:t>Exhibit 32(b)</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CERTIFICATE OF THE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CHIEF FINANCIAL OFFICER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UNIVERSAL FOREST PRODUCTS,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Pursuant to Section 906 of the Sarbanes-Oxley Act of 2002 (18 U.S.C. 1350):</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 Michael R. Cole, Chief Financial Officer of Universal Forest Products, Inc., certify, to the best of my knowledge and belief, pursuant to Section 906 of the Sarbanes-Oxley Act of 2002 (18 U.S.C. 1350) that:</w:t>
      </w:r>
    </w:p>
    <w:p>
      <w:pPr>
        <w:spacing w:after="0" w:line="170" w:lineRule="exact"/>
        <w:rPr>
          <w:sz w:val="20"/>
          <w:szCs w:val="20"/>
          <w:color w:val="auto"/>
        </w:rPr>
      </w:pPr>
    </w:p>
    <w:p>
      <w:pPr>
        <w:ind w:left="560" w:hanging="557"/>
        <w:spacing w:after="0" w:line="224" w:lineRule="exact"/>
        <w:tabs>
          <w:tab w:leader="none" w:pos="5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quarterly report on Form 10</w:t>
      </w:r>
      <w:r>
        <w:rPr>
          <w:rFonts w:ascii="MS PGothic" w:cs="MS PGothic" w:eastAsia="MS PGothic" w:hAnsi="MS PGothic"/>
          <w:sz w:val="16"/>
          <w:szCs w:val="16"/>
          <w:color w:val="auto"/>
        </w:rPr>
        <w:t>‑</w:t>
      </w:r>
      <w:r>
        <w:rPr>
          <w:rFonts w:ascii="Arial" w:cs="Arial" w:eastAsia="Arial" w:hAnsi="Arial"/>
          <w:sz w:val="16"/>
          <w:szCs w:val="16"/>
          <w:color w:val="auto"/>
        </w:rPr>
        <w:t>Q for the quarterly period ended March 31, 2018, which this statement accompanies, fully complies with requirements of Section 13(a) or 15(d) of the Securities Exchange Act of 1934; and</w:t>
      </w:r>
    </w:p>
    <w:p>
      <w:pPr>
        <w:spacing w:after="0" w:line="202" w:lineRule="exact"/>
        <w:rPr>
          <w:rFonts w:ascii="Arial" w:cs="Arial" w:eastAsia="Arial" w:hAnsi="Arial"/>
          <w:sz w:val="16"/>
          <w:szCs w:val="16"/>
          <w:color w:val="auto"/>
        </w:rPr>
      </w:pPr>
    </w:p>
    <w:p>
      <w:pPr>
        <w:jc w:val="both"/>
        <w:ind w:left="560" w:hanging="557"/>
        <w:spacing w:after="0" w:line="221" w:lineRule="exact"/>
        <w:tabs>
          <w:tab w:leader="none" w:pos="5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this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for the quarterly period ended March 31, 2018, fairly presents, in all material respects, the financial condition and results of operations of Universal Forest Products, Inc.</w:t>
      </w:r>
    </w:p>
    <w:p>
      <w:pPr>
        <w:spacing w:after="0" w:line="215"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UNIVERSAL FOREST PRODUCTS, INC.</w:t>
      </w:r>
    </w:p>
    <w:p>
      <w:pPr>
        <w:spacing w:after="0" w:line="225"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May 2, 2018</w:t>
      </w:r>
      <w:r>
        <w:rPr>
          <w:sz w:val="20"/>
          <w:szCs w:val="20"/>
          <w:color w:val="auto"/>
        </w:rPr>
        <w:tab/>
      </w:r>
      <w:r>
        <w:rPr>
          <w:rFonts w:ascii="Arial" w:cs="Arial" w:eastAsia="Arial" w:hAnsi="Arial"/>
          <w:sz w:val="17"/>
          <w:szCs w:val="17"/>
          <w:color w:val="auto"/>
        </w:rPr>
        <w:t>By:  /s/ 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14605</wp:posOffset>
            </wp:positionV>
            <wp:extent cx="259016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90165" cy="8890"/>
                    </a:xfrm>
                    <a:prstGeom prst="rect">
                      <a:avLst/>
                    </a:prstGeom>
                    <a:noFill/>
                  </pic:spPr>
                </pic:pic>
              </a:graphicData>
            </a:graphic>
          </wp:anchor>
        </w:drawing>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Michael R.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-130175</wp:posOffset>
            </wp:positionV>
            <wp:extent cx="28727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3"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Financial Officer and Principal Financial Officer</w:t>
      </w:r>
    </w:p>
    <w:p>
      <w:pPr>
        <w:spacing w:after="0" w:line="21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signed original of this written statement required by Section 906, or any other document authenticating, acknowledging, or otherwise adopting the signature that appears in typed form within the electronic version of this written statement required by Section 906, has been provided to Universal Forest Products, Inc. and will be retained by Universal Forest Products, Inc.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323850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21"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1."/>
      <w:numFmt w:val="upperLetter"/>
      <w:start w:val="1"/>
    </w:lvl>
  </w:abstractNum>
  <w:abstractNum w:abstractNumId="3">
    <w:nsid w:val="41A7C4C9"/>
    <w:multiLevelType w:val="hybridMultilevel"/>
    <w:lvl w:ilvl="0">
      <w:lvlJc w:val="left"/>
      <w:lvlText w:val="%1."/>
      <w:numFmt w:val="upperLetter"/>
      <w:start w:val="3"/>
    </w:lvl>
  </w:abstractNum>
  <w:abstractNum w:abstractNumId="4">
    <w:nsid w:val="6B68079A"/>
    <w:multiLevelType w:val="hybridMultilevel"/>
    <w:lvl w:ilvl="0">
      <w:lvlJc w:val="left"/>
      <w:lvlText w:val="%1."/>
      <w:numFmt w:val="upperLetter"/>
      <w:start w:val="4"/>
    </w:lvl>
  </w:abstractNum>
  <w:abstractNum w:abstractNumId="5">
    <w:nsid w:val="4E6AFB66"/>
    <w:multiLevelType w:val="hybridMultilevel"/>
    <w:lvl w:ilvl="0">
      <w:lvlJc w:val="left"/>
      <w:lvlText w:val="%1."/>
      <w:numFmt w:val="upperLetter"/>
      <w:start w:val="5"/>
    </w:lvl>
  </w:abstractNum>
  <w:abstractNum w:abstractNumId="6">
    <w:nsid w:val="25E45D32"/>
    <w:multiLevelType w:val="hybridMultilevel"/>
    <w:lvl w:ilvl="0">
      <w:lvlJc w:val="left"/>
      <w:lvlText w:val="%1."/>
      <w:numFmt w:val="upperLetter"/>
      <w:start w:val="6"/>
    </w:lvl>
  </w:abstractNum>
  <w:abstractNum w:abstractNumId="7">
    <w:nsid w:val="519B500D"/>
    <w:multiLevelType w:val="hybridMultilevel"/>
    <w:lvl w:ilvl="0">
      <w:lvlJc w:val="left"/>
      <w:lvlText w:val="%1."/>
      <w:numFmt w:val="upperLetter"/>
      <w:start w:val="7"/>
    </w:lvl>
  </w:abstractNum>
  <w:abstractNum w:abstractNumId="8">
    <w:nsid w:val="431BD7B7"/>
    <w:multiLevelType w:val="hybridMultilevel"/>
    <w:lvl w:ilvl="0">
      <w:lvlJc w:val="left"/>
      <w:lvlText w:val="%1."/>
      <w:numFmt w:val="upperLetter"/>
      <w:start w:val="8"/>
    </w:lvl>
  </w:abstractNum>
  <w:abstractNum w:abstractNumId="9">
    <w:nsid w:val="3F2DBA31"/>
    <w:multiLevelType w:val="hybridMultilevel"/>
    <w:lvl w:ilvl="0">
      <w:lvlJc w:val="left"/>
      <w:lvlText w:val="%1."/>
      <w:numFmt w:val="upperLetter"/>
      <w:start w:val="9"/>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
      <w:numFmt w:val="bullet"/>
      <w:start w:val="1"/>
    </w:lvl>
  </w:abstractNum>
  <w:abstractNum w:abstractNumId="12">
    <w:nsid w:val="62BBD95A"/>
    <w:multiLevelType w:val="hybridMultilevel"/>
    <w:lvl w:ilvl="0">
      <w:lvlJc w:val="left"/>
      <w:lvlText w:val="·"/>
      <w:numFmt w:val="bullet"/>
      <w:start w:val="1"/>
    </w:lvl>
  </w:abstractNum>
  <w:abstractNum w:abstractNumId="13">
    <w:nsid w:val="436C6125"/>
    <w:multiLevelType w:val="hybridMultilevel"/>
    <w:lvl w:ilvl="0">
      <w:lvlJc w:val="left"/>
      <w:lvlText w:val="·"/>
      <w:numFmt w:val="bullet"/>
      <w:start w:val="1"/>
    </w:lvl>
  </w:abstractNum>
  <w:abstractNum w:abstractNumId="14">
    <w:nsid w:val="628C895D"/>
    <w:multiLevelType w:val="hybridMultilevel"/>
    <w:lvl w:ilvl="0">
      <w:lvlJc w:val="left"/>
      <w:lvlText w:val="·"/>
      <w:numFmt w:val="bullet"/>
      <w:start w:val="1"/>
    </w:lvl>
  </w:abstractNum>
  <w:abstractNum w:abstractNumId="15">
    <w:nsid w:val="333AB105"/>
    <w:multiLevelType w:val="hybridMultilevel"/>
    <w:lvl w:ilvl="0">
      <w:lvlJc w:val="left"/>
      <w:lvlText w:val="·"/>
      <w:numFmt w:val="bullet"/>
      <w:start w:val="1"/>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lowerLetter"/>
      <w:start w:val="1"/>
    </w:lvl>
  </w:abstractNum>
  <w:abstractNum w:abstractNumId="20">
    <w:nsid w:val="75A2A8D4"/>
    <w:multiLevelType w:val="hybridMultilevel"/>
    <w:lvl w:ilvl="0">
      <w:lvlJc w:val="left"/>
      <w:lvlText w:val="(%1)"/>
      <w:numFmt w:val="lowerLetter"/>
      <w:start w:val="1"/>
    </w:lvl>
  </w:abstractNum>
  <w:abstractNum w:abstractNumId="21">
    <w:nsid w:val="8EDBDAB"/>
    <w:multiLevelType w:val="hybridMultilevel"/>
    <w:lvl w:ilvl="0">
      <w:lvlJc w:val="left"/>
      <w:lvlText w:val="(%1)"/>
      <w:numFmt w:val="lowerLetter"/>
      <w:start w:val="1"/>
    </w:lvl>
  </w:abstractNum>
  <w:abstractNum w:abstractNumId="22">
    <w:nsid w:val="79838CB2"/>
    <w:multiLevelType w:val="hybridMultilevel"/>
    <w:lvl w:ilvl="0">
      <w:lvlJc w:val="left"/>
      <w:lvlText w:val="%1"/>
      <w:numFmt w:val="decimal"/>
      <w:start w:val="31"/>
    </w:lvl>
    <w:lvl w:ilvl="1">
      <w:lvlJc w:val="left"/>
      <w:lvlText w:val="(%2)"/>
      <w:numFmt w:val="lowerLetter"/>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2019-12-06T02:33:35Z</dcterms:created>
  <dcterms:modified xsi:type="dcterms:W3CDTF">2019-12-06T02:33:35Z</dcterms:modified>
</cp:coreProperties>
</file>